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0C8" w:rsidP="007630C8">
      <w:pPr>
        <w:pStyle w:val="Title"/>
      </w:pPr>
      <w:bookmarkStart w:id="0" w:name="_GoBack"/>
      <w:bookmarkEnd w:id="0"/>
      <w:r>
        <w:fldChar w:fldCharType="begin"/>
      </w:r>
      <w:r>
        <w:instrText xml:space="preserve"> TITLE   \* MERGEFORMAT </w:instrText>
      </w:r>
      <w:r>
        <w:fldChar w:fldCharType="separate"/>
      </w:r>
      <w:r>
        <w:t>MSL933004A Perform calibration checks on equipment and assist with its maintenance</w:t>
      </w:r>
      <w:r>
        <w:fldChar w:fldCharType="end"/>
      </w:r>
    </w:p>
    <w:p w:rsidR="007630C8" w:rsidP="007630C8">
      <w:pPr>
        <w:pStyle w:val="Version"/>
        <w:sectPr w:rsidSect="00FB7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DBC" w:rsidP="00FB7DBC">
      <w:pPr>
        <w:pStyle w:val="SuperHeading"/>
      </w:pPr>
      <w:r w:rsidRPr="00FB7DBC">
        <w:t>MSL933004A Perform calibration checks on equipment and assist with its maintenance</w:t>
      </w:r>
    </w:p>
    <w:p w:rsidR="00000000" w:rsidRPr="00FB7DBC" w:rsidP="00FB7DBC">
      <w:pPr>
        <w:pStyle w:val="Heading1"/>
      </w:pPr>
      <w:bookmarkStart w:id="1" w:name="O_102855"/>
      <w:bookmarkEnd w:id="1"/>
      <w:r w:rsidRPr="00FB7DBC">
        <w:t>Modification History</w:t>
      </w:r>
    </w:p>
    <w:p w:rsidR="00000000" w:rsidRPr="00FB7DBC" w:rsidP="00FB7DBC">
      <w:pPr>
        <w:pStyle w:val="BodyText"/>
      </w:pPr>
      <w:r w:rsidRPr="00FB7DBC">
        <w:t>Not applicable.</w:t>
      </w:r>
    </w:p>
    <w:p w:rsidR="00000000" w:rsidRPr="00FB7DBC" w:rsidP="00FB7DBC">
      <w:pPr>
        <w:pStyle w:val="AllowPageBreak"/>
      </w:pPr>
    </w:p>
    <w:p w:rsidR="00000000" w:rsidRPr="00FB7DBC" w:rsidP="00FB7DBC">
      <w:pPr>
        <w:pStyle w:val="Heading1"/>
      </w:pPr>
      <w:bookmarkStart w:id="2" w:name="O_102856"/>
      <w:bookmarkEnd w:id="2"/>
      <w:r w:rsidRPr="00FB7DBC">
        <w:t>Unit Descript</w:t>
      </w:r>
      <w:r w:rsidRPr="00FB7DBC">
        <w:t>or</w:t>
      </w:r>
    </w:p>
    <w:tbl>
      <w:tblPr>
        <w:tblW w:w="0" w:type="auto"/>
        <w:tblLayout w:type="fixed"/>
        <w:tblCellMar>
          <w:left w:w="62" w:type="dxa"/>
          <w:right w:w="62" w:type="dxa"/>
        </w:tblCellMar>
        <w:tblLook w:val="0000"/>
      </w:tblPr>
      <w:tblGrid>
        <w:gridCol w:w="2668"/>
        <w:gridCol w:w="5854"/>
      </w:tblGrid>
      <w:tr w:rsidTr="007630C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This unit of competency covers the ability to perform setup, pre-use and in-house calibration checks on equipment and assist with its maintenance.</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3" w:name="O_102857"/>
      <w:bookmarkEnd w:id="3"/>
      <w:r w:rsidRPr="00FB7DBC">
        <w:t>Application of the Unit</w:t>
      </w:r>
    </w:p>
    <w:tbl>
      <w:tblPr>
        <w:tblW w:w="0" w:type="auto"/>
        <w:tblLayout w:type="fixed"/>
        <w:tblCellMar>
          <w:left w:w="62" w:type="dxa"/>
          <w:right w:w="62" w:type="dxa"/>
        </w:tblCellMar>
        <w:tblLook w:val="0000"/>
      </w:tblPr>
      <w:tblGrid>
        <w:gridCol w:w="2752"/>
        <w:gridCol w:w="5770"/>
      </w:tblGrid>
      <w:tr w:rsidTr="007630C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This unit of competency is applicable to laboratory assistants working in all industry sectors.</w:t>
            </w:r>
          </w:p>
          <w:p w:rsidR="00000000" w:rsidRPr="00FB7DBC" w:rsidP="00FB7DBC">
            <w:pPr>
              <w:pStyle w:val="BodyText"/>
            </w:pPr>
            <w:r w:rsidRPr="00FB7DBC">
              <w:t xml:space="preserve">Industry representatives have provided case studies to illustrate the practical application of this unit of competency and to show its relevance in a workplace </w:t>
            </w:r>
            <w:r w:rsidRPr="00FB7DBC">
              <w:t>setting. These are found at the end of this unit of competency under the section 'This competency in practice'.</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4" w:name="O_102858"/>
      <w:bookmarkEnd w:id="4"/>
      <w:r w:rsidRPr="00FB7DBC">
        <w:t>Licensing/Regulatory Information</w:t>
      </w:r>
    </w:p>
    <w:p w:rsidR="00000000" w:rsidRPr="00FB7DBC" w:rsidP="00FB7DBC">
      <w:pPr>
        <w:pStyle w:val="BodyText"/>
      </w:pPr>
      <w:r w:rsidRPr="00FB7DBC">
        <w:t>Not applicable.</w:t>
      </w:r>
    </w:p>
    <w:p w:rsidR="00000000" w:rsidRPr="00FB7DBC" w:rsidP="00FB7DBC">
      <w:pPr>
        <w:pStyle w:val="AllowPageBreak"/>
      </w:pPr>
    </w:p>
    <w:p w:rsidR="00000000" w:rsidRPr="00FB7DBC" w:rsidP="00FB7DBC">
      <w:pPr>
        <w:pStyle w:val="Heading1"/>
      </w:pPr>
      <w:bookmarkStart w:id="5" w:name="O_102860"/>
      <w:bookmarkEnd w:id="5"/>
      <w:r w:rsidRPr="00FB7DBC">
        <w:t>Pre-Requisites</w:t>
      </w:r>
    </w:p>
    <w:tbl>
      <w:tblPr>
        <w:tblW w:w="0" w:type="auto"/>
        <w:tblLayout w:type="fixed"/>
        <w:tblCellMar>
          <w:left w:w="62" w:type="dxa"/>
          <w:right w:w="62" w:type="dxa"/>
        </w:tblCellMar>
        <w:tblLook w:val="0000"/>
      </w:tblPr>
      <w:tblGrid>
        <w:gridCol w:w="2775"/>
        <w:gridCol w:w="1295"/>
        <w:gridCol w:w="4452"/>
      </w:tblGrid>
      <w:tr w:rsidTr="007630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p>
        </w:tc>
      </w:tr>
      <w:tr w:rsidTr="00763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p>
        </w:tc>
      </w:tr>
      <w:tr w:rsidTr="007630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6" w:name="O_102859"/>
      <w:bookmarkEnd w:id="6"/>
      <w:r w:rsidRPr="00FB7DBC">
        <w:t>Employability Skills Information</w:t>
      </w:r>
    </w:p>
    <w:tbl>
      <w:tblPr>
        <w:tblW w:w="0" w:type="auto"/>
        <w:tblLayout w:type="fixed"/>
        <w:tblCellMar>
          <w:left w:w="62" w:type="dxa"/>
          <w:right w:w="62" w:type="dxa"/>
        </w:tblCellMar>
        <w:tblLook w:val="0000"/>
      </w:tblPr>
      <w:tblGrid>
        <w:gridCol w:w="2802"/>
        <w:gridCol w:w="5720"/>
      </w:tblGrid>
      <w:tr w:rsidTr="007630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This unit contains employability skills.</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7" w:name="O_102861"/>
      <w:bookmarkEnd w:id="7"/>
      <w:r w:rsidRPr="00FB7DBC">
        <w:t>Elements and Performance Criteria Pre-Content</w:t>
      </w:r>
    </w:p>
    <w:tbl>
      <w:tblPr>
        <w:tblW w:w="0" w:type="auto"/>
        <w:tblLayout w:type="fixed"/>
        <w:tblCellMar>
          <w:left w:w="62" w:type="dxa"/>
          <w:right w:w="62" w:type="dxa"/>
        </w:tblCellMar>
        <w:tblLook w:val="0000"/>
      </w:tblPr>
      <w:tblGrid>
        <w:gridCol w:w="2531"/>
        <w:gridCol w:w="5991"/>
      </w:tblGrid>
      <w:tr w:rsidTr="007630C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Performance criteria describe the performance needed to demonstrate achievement of the element. Where bold italicised text is used, further information is detailed in the required skills and knowledge section and the range statement. Assessment of performa</w:t>
            </w:r>
            <w:r w:rsidRPr="00FB7DBC">
              <w:t>nce is to be consistent with the evidence guide.</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8" w:name="O_102862"/>
      <w:bookmarkEnd w:id="8"/>
      <w:r w:rsidRPr="00FB7DBC">
        <w:t>Elements and Performance Criteria</w:t>
      </w:r>
    </w:p>
    <w:tbl>
      <w:tblPr>
        <w:tblW w:w="0" w:type="auto"/>
        <w:tblLayout w:type="fixed"/>
        <w:tblCellMar>
          <w:left w:w="62" w:type="dxa"/>
          <w:right w:w="62" w:type="dxa"/>
        </w:tblCellMar>
        <w:tblLook w:val="0000"/>
      </w:tblPr>
      <w:tblGrid>
        <w:gridCol w:w="2531"/>
        <w:gridCol w:w="5991"/>
      </w:tblGrid>
      <w:tr w:rsidTr="007630C8">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PERFORMANCE CRITERIA</w:t>
            </w:r>
          </w:p>
        </w:tc>
      </w:tr>
      <w:tr w:rsidTr="007630C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List"/>
              <w:rPr>
                <w:lang w:val="en-NZ"/>
              </w:rPr>
            </w:pPr>
            <w:r w:rsidRPr="00FB7DBC">
              <w:t>1.</w:t>
            </w:r>
            <w:r w:rsidRPr="00FB7DBC">
              <w:tab/>
              <w:t>Perform setup and pre-use checks of laboratory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List2"/>
            </w:pPr>
            <w:r w:rsidRPr="00FB7DBC">
              <w:t>1.1.</w:t>
            </w:r>
            <w:r w:rsidRPr="00FB7DBC">
              <w:tab/>
            </w:r>
            <w:r w:rsidRPr="00FB7DBC">
              <w:t>Perform laboratory equipment setup and pre-use checks in accordance with enterprise procedures</w:t>
            </w:r>
          </w:p>
          <w:p w:rsidR="00000000" w:rsidRPr="00FB7DBC" w:rsidP="00FB7DBC">
            <w:pPr>
              <w:pStyle w:val="List2"/>
            </w:pPr>
            <w:r w:rsidRPr="00FB7DBC">
              <w:t>1.2.</w:t>
            </w:r>
            <w:r w:rsidRPr="00FB7DBC">
              <w:tab/>
              <w:t>Perform safety checks in accordance with relevant enterprise and instrumental procedures</w:t>
            </w:r>
          </w:p>
          <w:p w:rsidR="00000000" w:rsidRPr="00FB7DBC" w:rsidP="00FB7DBC">
            <w:pPr>
              <w:pStyle w:val="List2"/>
            </w:pPr>
            <w:r w:rsidRPr="00FB7DBC">
              <w:t>1.3.</w:t>
            </w:r>
            <w:r w:rsidRPr="00FB7DBC">
              <w:tab/>
              <w:t xml:space="preserve">Identify faulty or unsafe components and equipment and report </w:t>
            </w:r>
            <w:r w:rsidRPr="00FB7DBC">
              <w:t>to appropriate personnel</w:t>
            </w:r>
          </w:p>
          <w:p w:rsidR="00000000" w:rsidP="00FB7DBC">
            <w:pPr>
              <w:pStyle w:val="List2"/>
              <w:rPr>
                <w:lang w:val="en-NZ"/>
              </w:rPr>
            </w:pPr>
            <w:r w:rsidRPr="00FB7DBC">
              <w:t>1.4.</w:t>
            </w:r>
            <w:r w:rsidRPr="00FB7DBC">
              <w:tab/>
              <w:t>Complete instrument log books/records to meet enterprise requirements</w:t>
            </w:r>
          </w:p>
        </w:tc>
      </w:tr>
      <w:tr w:rsidTr="007630C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List"/>
              <w:rPr>
                <w:lang w:val="en-NZ"/>
              </w:rPr>
            </w:pPr>
            <w:r w:rsidRPr="00FB7DBC">
              <w:t>2.</w:t>
            </w:r>
            <w:r w:rsidRPr="00FB7DBC">
              <w:tab/>
              <w:t>Perform calibration checks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List2"/>
            </w:pPr>
            <w:r w:rsidRPr="00FB7DBC">
              <w:t>2.1.</w:t>
            </w:r>
            <w:r w:rsidRPr="00FB7DBC">
              <w:tab/>
              <w:t>Start up equipment according to operating procedures</w:t>
            </w:r>
          </w:p>
          <w:p w:rsidR="00000000" w:rsidRPr="00FB7DBC" w:rsidP="00FB7DBC">
            <w:pPr>
              <w:pStyle w:val="List2"/>
            </w:pPr>
            <w:r w:rsidRPr="00FB7DBC">
              <w:t>2.2.</w:t>
            </w:r>
            <w:r w:rsidRPr="00FB7DBC">
              <w:tab/>
              <w:t>Use specified standards for calibration check</w:t>
            </w:r>
          </w:p>
          <w:p w:rsidR="00000000" w:rsidRPr="00FB7DBC" w:rsidP="00FB7DBC">
            <w:pPr>
              <w:pStyle w:val="List2"/>
            </w:pPr>
            <w:r w:rsidRPr="00FB7DBC">
              <w:t>2.3.</w:t>
            </w:r>
            <w:r w:rsidRPr="00FB7DBC">
              <w:tab/>
              <w:t>Check equip</w:t>
            </w:r>
            <w:r w:rsidRPr="00FB7DBC">
              <w:t>ment as per calibration procedures and schedules</w:t>
            </w:r>
          </w:p>
          <w:p w:rsidR="00000000" w:rsidRPr="00FB7DBC" w:rsidP="00FB7DBC">
            <w:pPr>
              <w:pStyle w:val="List2"/>
            </w:pPr>
            <w:r w:rsidRPr="00FB7DBC">
              <w:t>2.4.</w:t>
            </w:r>
            <w:r w:rsidRPr="00FB7DBC">
              <w:tab/>
              <w:t>Record all calibration data accurately and legibly</w:t>
            </w:r>
          </w:p>
          <w:p w:rsidR="00000000" w:rsidRPr="00FB7DBC" w:rsidP="00FB7DBC">
            <w:pPr>
              <w:pStyle w:val="List2"/>
            </w:pPr>
            <w:r w:rsidRPr="00FB7DBC">
              <w:t>2.5.</w:t>
            </w:r>
            <w:r w:rsidRPr="00FB7DBC">
              <w:tab/>
              <w:t>Compare data with specifications and/or previous records to identify non-compliant equipment</w:t>
            </w:r>
          </w:p>
          <w:p w:rsidR="00000000" w:rsidP="00FB7DBC">
            <w:pPr>
              <w:pStyle w:val="List2"/>
              <w:rPr>
                <w:lang w:val="en-NZ"/>
              </w:rPr>
            </w:pPr>
            <w:r w:rsidRPr="00FB7DBC">
              <w:t>2.6.</w:t>
            </w:r>
            <w:r w:rsidRPr="00FB7DBC">
              <w:tab/>
              <w:t>Quarantine out of calibration equipment</w:t>
            </w:r>
          </w:p>
        </w:tc>
      </w:tr>
      <w:tr w:rsidTr="007630C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List"/>
              <w:rPr>
                <w:lang w:val="en-NZ"/>
              </w:rPr>
            </w:pPr>
            <w:r w:rsidRPr="00FB7DBC">
              <w:t>3.</w:t>
            </w:r>
            <w:r w:rsidRPr="00FB7DBC">
              <w:tab/>
            </w:r>
            <w:r w:rsidRPr="00FB7DBC">
              <w:t>Assist with equipment maintenance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List2"/>
            </w:pPr>
            <w:r w:rsidRPr="00FB7DBC">
              <w:t>3.1.</w:t>
            </w:r>
            <w:r w:rsidRPr="00FB7DBC">
              <w:tab/>
              <w:t>Ensure all equipment work areas are clean during and after equipment use</w:t>
            </w:r>
          </w:p>
          <w:p w:rsidR="00000000" w:rsidRPr="00FB7DBC" w:rsidP="00FB7DBC">
            <w:pPr>
              <w:pStyle w:val="List2"/>
            </w:pPr>
            <w:r w:rsidRPr="00FB7DBC">
              <w:t>3.2.</w:t>
            </w:r>
            <w:r w:rsidRPr="00FB7DBC">
              <w:tab/>
              <w:t>Perform basic maintenance in accordance with enterprise procedures</w:t>
            </w:r>
          </w:p>
          <w:p w:rsidR="00000000" w:rsidRPr="00FB7DBC" w:rsidP="00FB7DBC">
            <w:pPr>
              <w:pStyle w:val="List2"/>
            </w:pPr>
            <w:r w:rsidRPr="00FB7DBC">
              <w:t>3.3.</w:t>
            </w:r>
            <w:r w:rsidRPr="00FB7DBC">
              <w:tab/>
              <w:t>Clean and store equipment according to enterprise and/or manufactur</w:t>
            </w:r>
            <w:r w:rsidRPr="00FB7DBC">
              <w:t>er's specifications/procedures</w:t>
            </w:r>
          </w:p>
          <w:p w:rsidR="00000000" w:rsidP="00FB7DBC">
            <w:pPr>
              <w:pStyle w:val="List2"/>
              <w:rPr>
                <w:lang w:val="en-NZ"/>
              </w:rPr>
            </w:pPr>
            <w:r w:rsidRPr="00FB7DBC">
              <w:t>3.4.</w:t>
            </w:r>
            <w:r w:rsidRPr="00FB7DBC">
              <w:tab/>
              <w:t>Identify and replace, repair or dispose of damaged/worn equipment as appropriate</w:t>
            </w:r>
          </w:p>
        </w:tc>
      </w:tr>
      <w:tr w:rsidTr="007630C8">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List"/>
              <w:rPr>
                <w:lang w:val="en-NZ"/>
              </w:rPr>
            </w:pPr>
            <w:r w:rsidRPr="00FB7DBC">
              <w:t>4.</w:t>
            </w:r>
            <w:r w:rsidRPr="00FB7DBC">
              <w:tab/>
              <w:t>Maintain records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List2"/>
            </w:pPr>
            <w:r w:rsidRPr="00FB7DBC">
              <w:t>4.1.</w:t>
            </w:r>
            <w:r w:rsidRPr="00FB7DBC">
              <w:tab/>
              <w:t>Record and report information on unsafe or faulty equipment according to enterprise procedures</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9" w:name="O_102863"/>
      <w:bookmarkEnd w:id="9"/>
      <w:r w:rsidRPr="00FB7DBC">
        <w:t>Required Skills and Knowledge</w:t>
      </w:r>
    </w:p>
    <w:tbl>
      <w:tblPr>
        <w:tblW w:w="0" w:type="auto"/>
        <w:tblLayout w:type="fixed"/>
        <w:tblCellMar>
          <w:left w:w="62" w:type="dxa"/>
          <w:right w:w="62" w:type="dxa"/>
        </w:tblCellMar>
        <w:tblLook w:val="0000"/>
      </w:tblPr>
      <w:tblGrid>
        <w:gridCol w:w="8522"/>
      </w:tblGrid>
      <w:tr w:rsidTr="007630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REQUIRED SKILLS AND KNOWLEDGE</w:t>
            </w:r>
          </w:p>
        </w:tc>
      </w:tr>
      <w:tr w:rsidTr="007630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t>This section describes the skills and knowledge required for this unit.</w:t>
            </w:r>
          </w:p>
        </w:tc>
      </w:tr>
      <w:tr w:rsidTr="00763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Required skills</w:t>
            </w:r>
          </w:p>
        </w:tc>
      </w:tr>
      <w:tr w:rsidTr="00763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Required skills include:</w:t>
            </w:r>
          </w:p>
          <w:p w:rsidR="00000000" w:rsidRPr="00FB7DBC" w:rsidP="00FB7DBC">
            <w:pPr>
              <w:pStyle w:val="ListBullet"/>
            </w:pPr>
            <w:r w:rsidRPr="00FB7DBC">
              <w:t>performing setup, pre-use checks and shutdown procedures</w:t>
            </w:r>
          </w:p>
          <w:p w:rsidR="00000000" w:rsidRPr="00FB7DBC" w:rsidP="00FB7DBC">
            <w:pPr>
              <w:pStyle w:val="ListBullet"/>
            </w:pPr>
            <w:r w:rsidRPr="00FB7DBC">
              <w:t>performing calibration checks of basic equipment using standard procedures</w:t>
            </w:r>
          </w:p>
          <w:p w:rsidR="00000000" w:rsidRPr="00FB7DBC" w:rsidP="00FB7DBC">
            <w:pPr>
              <w:pStyle w:val="ListBullet"/>
            </w:pPr>
            <w:r w:rsidRPr="00FB7DBC">
              <w:t>obtaining readings of the required accuracy and precision</w:t>
            </w:r>
          </w:p>
          <w:p w:rsidR="00000000" w:rsidRPr="00FB7DBC" w:rsidP="00FB7DBC">
            <w:pPr>
              <w:pStyle w:val="ListBullet"/>
            </w:pPr>
            <w:r w:rsidRPr="00FB7DBC">
              <w:t>identifying non-compliant equipment from specifications and/or previous checks</w:t>
            </w:r>
          </w:p>
          <w:p w:rsidR="00000000" w:rsidRPr="00FB7DBC" w:rsidP="00FB7DBC">
            <w:pPr>
              <w:pStyle w:val="ListBullet"/>
            </w:pPr>
            <w:r w:rsidRPr="00FB7DBC">
              <w:t>recognising non-standard behaviour of instruments</w:t>
            </w:r>
          </w:p>
          <w:p w:rsidR="00000000" w:rsidRPr="00FB7DBC" w:rsidP="00FB7DBC">
            <w:pPr>
              <w:pStyle w:val="ListBullet"/>
            </w:pPr>
            <w:r w:rsidRPr="00FB7DBC">
              <w:t>assisting with maintaining equipment in working order by performing basic maintenance tasks</w:t>
            </w:r>
          </w:p>
          <w:p w:rsidR="00000000" w:rsidRPr="00FB7DBC" w:rsidP="00FB7DBC">
            <w:pPr>
              <w:pStyle w:val="ListBullet"/>
            </w:pPr>
            <w:r w:rsidRPr="00FB7DBC">
              <w:t>following all relevant occupational health and safety (OHS) requirements</w:t>
            </w:r>
          </w:p>
          <w:p w:rsidR="00000000" w:rsidP="00FB7DBC">
            <w:pPr>
              <w:pStyle w:val="ListBullet"/>
              <w:rPr>
                <w:lang w:val="en-NZ"/>
              </w:rPr>
            </w:pPr>
            <w:r w:rsidRPr="00FB7DBC">
              <w:t>following enterprise recording and report</w:t>
            </w:r>
            <w:r w:rsidRPr="00FB7DBC">
              <w:t>ing procedures</w:t>
            </w:r>
          </w:p>
        </w:tc>
      </w:tr>
      <w:tr w:rsidTr="00763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Required knowledge</w:t>
            </w:r>
          </w:p>
        </w:tc>
      </w:tr>
      <w:tr w:rsidTr="007630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Required knowledge includes:</w:t>
            </w:r>
          </w:p>
          <w:p w:rsidR="00000000" w:rsidRPr="00FB7DBC" w:rsidP="00FB7DBC">
            <w:pPr>
              <w:pStyle w:val="ListBullet"/>
            </w:pPr>
            <w:r w:rsidRPr="00FB7DBC">
              <w:t>operational principles and methods for equipment use</w:t>
            </w:r>
          </w:p>
          <w:p w:rsidR="00000000" w:rsidRPr="00FB7DBC" w:rsidP="00FB7DBC">
            <w:pPr>
              <w:pStyle w:val="ListBullet"/>
            </w:pPr>
            <w:r w:rsidRPr="00FB7DBC">
              <w:t>basic sources of error in equipment operation and their control</w:t>
            </w:r>
          </w:p>
          <w:p w:rsidR="00000000" w:rsidRPr="00FB7DBC" w:rsidP="00FB7DBC">
            <w:pPr>
              <w:pStyle w:val="ListBullet"/>
            </w:pPr>
            <w:r w:rsidRPr="00FB7DBC">
              <w:t>role and importance of correct calibration</w:t>
            </w:r>
          </w:p>
          <w:p w:rsidR="00000000" w:rsidRPr="00FB7DBC" w:rsidP="00FB7DBC">
            <w:pPr>
              <w:pStyle w:val="ListBullet"/>
            </w:pPr>
            <w:r w:rsidRPr="00FB7DBC">
              <w:t>basic equipment maintenance pro</w:t>
            </w:r>
            <w:r w:rsidRPr="00FB7DBC">
              <w:t>cedures</w:t>
            </w:r>
          </w:p>
          <w:p w:rsidR="00000000" w:rsidRPr="00FB7DBC" w:rsidP="00FB7DBC">
            <w:pPr>
              <w:pStyle w:val="ListBullet"/>
            </w:pPr>
            <w:r w:rsidRPr="00FB7DBC">
              <w:t>enterprise communication and reporting procedures</w:t>
            </w:r>
          </w:p>
          <w:p w:rsidR="00000000" w:rsidRPr="00FB7DBC" w:rsidP="00FB7DBC">
            <w:pPr>
              <w:pStyle w:val="ListBullet"/>
            </w:pPr>
            <w:r w:rsidRPr="00FB7DBC">
              <w:t>relevant OHS and environment requirements</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10" w:name="O_102864"/>
      <w:bookmarkEnd w:id="10"/>
      <w:r w:rsidRPr="00FB7DBC">
        <w:t>Evidence Guide</w:t>
      </w:r>
    </w:p>
    <w:tbl>
      <w:tblPr>
        <w:tblW w:w="9570" w:type="dxa"/>
        <w:tblLayout w:type="fixed"/>
        <w:tblCellMar>
          <w:left w:w="62" w:type="dxa"/>
          <w:right w:w="62" w:type="dxa"/>
        </w:tblCellMar>
        <w:tblLook w:val="0000"/>
      </w:tblPr>
      <w:tblGrid>
        <w:gridCol w:w="3908"/>
        <w:gridCol w:w="5662"/>
      </w:tblGrid>
      <w:tr w:rsidTr="007630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EVIDENCE GUIDE</w:t>
            </w:r>
          </w:p>
        </w:tc>
      </w:tr>
      <w:tr w:rsidTr="007630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t>The Evidence Guide provides advice on assessment and must be read in conjunction with the performance criteria, required skills and knowledge, range statement and the Assessment Guidelines for the Training Package.</w:t>
            </w:r>
          </w:p>
        </w:tc>
      </w:tr>
      <w:tr w:rsidTr="00763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p>
        </w:tc>
      </w:tr>
      <w:tr w:rsidTr="00763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Critical aspec</w:t>
            </w:r>
            <w:r w:rsidRPr="00FB7DB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Assessors should ensure that candidates can:</w:t>
            </w:r>
          </w:p>
          <w:p w:rsidR="00000000" w:rsidRPr="00FB7DBC" w:rsidP="00FB7DBC">
            <w:pPr>
              <w:pStyle w:val="ListBullet"/>
            </w:pPr>
            <w:r w:rsidRPr="00FB7DBC">
              <w:t>perform setup pre-use checks and shutdown procedures</w:t>
            </w:r>
          </w:p>
          <w:p w:rsidR="00000000" w:rsidRPr="00FB7DBC" w:rsidP="00FB7DBC">
            <w:pPr>
              <w:pStyle w:val="ListBullet"/>
            </w:pPr>
            <w:r w:rsidRPr="00FB7DBC">
              <w:t>perform calibration checks of basic equipment using standard procedures</w:t>
            </w:r>
          </w:p>
          <w:p w:rsidR="00000000" w:rsidRPr="00FB7DBC" w:rsidP="00FB7DBC">
            <w:pPr>
              <w:pStyle w:val="ListBullet"/>
            </w:pPr>
            <w:r w:rsidRPr="00FB7DBC">
              <w:t>obtain readings of the required accuracy and precision</w:t>
            </w:r>
          </w:p>
          <w:p w:rsidR="00000000" w:rsidRPr="00FB7DBC" w:rsidP="00FB7DBC">
            <w:pPr>
              <w:pStyle w:val="ListBullet"/>
            </w:pPr>
            <w:r w:rsidRPr="00FB7DBC">
              <w:t>recognise non-standard behaviour of instruments</w:t>
            </w:r>
          </w:p>
          <w:p w:rsidR="00000000" w:rsidRPr="00FB7DBC" w:rsidP="00FB7DBC">
            <w:pPr>
              <w:pStyle w:val="ListBullet"/>
            </w:pPr>
            <w:r w:rsidRPr="00FB7DBC">
              <w:t>assist with maintaining equipment in working order by performing basic maintenance tasks</w:t>
            </w:r>
          </w:p>
          <w:p w:rsidR="00000000" w:rsidRPr="00FB7DBC" w:rsidP="00FB7DBC">
            <w:pPr>
              <w:pStyle w:val="ListBullet"/>
            </w:pPr>
            <w:r w:rsidRPr="00FB7DBC">
              <w:t>follow all relevant OHS requirements</w:t>
            </w:r>
          </w:p>
          <w:p w:rsidR="00000000" w:rsidP="00FB7DBC">
            <w:pPr>
              <w:pStyle w:val="ListBullet"/>
              <w:rPr>
                <w:lang w:val="en-NZ"/>
              </w:rPr>
            </w:pPr>
            <w:r w:rsidRPr="00FB7DBC">
              <w:t>follow enterprise recording</w:t>
            </w:r>
            <w:r w:rsidRPr="00FB7DBC">
              <w:t xml:space="preserve"> and reporting procedures.</w:t>
            </w:r>
          </w:p>
        </w:tc>
      </w:tr>
      <w:tr w:rsidTr="00763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 xml:space="preserve">This unit of competency is to be assessed in the workplace or simulated workplace environment. </w:t>
            </w:r>
          </w:p>
          <w:p w:rsidR="00000000" w:rsidRPr="00FB7DBC" w:rsidP="00FB7DBC">
            <w:pPr>
              <w:pStyle w:val="BodyText"/>
            </w:pPr>
            <w:r w:rsidRPr="00FB7DBC">
              <w:t>This unit of competency may be assessed with:</w:t>
            </w:r>
          </w:p>
          <w:p w:rsidR="00000000" w:rsidRPr="00FB7DBC" w:rsidP="00FB7DBC">
            <w:pPr>
              <w:pStyle w:val="ListBullet"/>
            </w:pPr>
            <w:r w:rsidRPr="00FB7DBC">
              <w:rPr>
                <w:rStyle w:val="Emphasis"/>
              </w:rPr>
              <w:t>MSL973001A Perform basic tests</w:t>
            </w:r>
            <w:r w:rsidRPr="00FB7DBC">
              <w:t xml:space="preserve">. </w:t>
            </w:r>
          </w:p>
          <w:p w:rsidR="00000000" w:rsidRPr="00FB7DBC" w:rsidP="00FB7DBC">
            <w:pPr>
              <w:pStyle w:val="BodyText"/>
            </w:pPr>
            <w:r w:rsidRPr="00FB7DBC">
              <w:t>Reso</w:t>
            </w:r>
            <w:r w:rsidRPr="00FB7DBC">
              <w:t>urces may include:</w:t>
            </w:r>
          </w:p>
          <w:p w:rsidR="00000000" w:rsidRPr="00FB7DBC" w:rsidP="00FB7DBC">
            <w:pPr>
              <w:pStyle w:val="ListBullet"/>
            </w:pPr>
            <w:r w:rsidRPr="00FB7DBC">
              <w:t>standard laboratory equipped with appropriate equipment and reference materials</w:t>
            </w:r>
          </w:p>
          <w:p w:rsidR="00000000" w:rsidRPr="00FB7DBC" w:rsidP="00FB7DBC">
            <w:pPr>
              <w:pStyle w:val="ListBullet"/>
            </w:pPr>
            <w:r w:rsidRPr="00FB7DBC">
              <w:t>enterprise procedures and standard methods, equipment manuals</w:t>
            </w:r>
          </w:p>
          <w:p w:rsidR="00000000" w:rsidRPr="00FB7DBC" w:rsidP="00FB7DBC">
            <w:pPr>
              <w:pStyle w:val="ListBullet"/>
            </w:pPr>
            <w:r w:rsidRPr="00FB7DBC">
              <w:t>calibration check standards and procedures</w:t>
            </w:r>
          </w:p>
          <w:p w:rsidR="00000000" w:rsidP="00FB7DBC">
            <w:pPr>
              <w:pStyle w:val="ListBullet"/>
              <w:rPr>
                <w:lang w:val="en-NZ"/>
              </w:rPr>
            </w:pPr>
            <w:r w:rsidRPr="00FB7DBC">
              <w:t>maintenance procedures.</w:t>
            </w:r>
          </w:p>
        </w:tc>
      </w:tr>
      <w:tr w:rsidTr="00763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The following assessment methods are suggested:</w:t>
            </w:r>
          </w:p>
          <w:p w:rsidR="00000000" w:rsidRPr="00FB7DBC" w:rsidP="00FB7DBC">
            <w:pPr>
              <w:pStyle w:val="ListBullet"/>
            </w:pPr>
            <w:r w:rsidRPr="00FB7DBC">
              <w:t>review of the quality of test data/results achieved by the candidate over time</w:t>
            </w:r>
          </w:p>
          <w:p w:rsidR="00000000" w:rsidRPr="00FB7DBC" w:rsidP="00FB7DBC">
            <w:pPr>
              <w:pStyle w:val="ListBullet"/>
            </w:pPr>
            <w:r w:rsidRPr="00FB7DBC">
              <w:t>inspection of records and workplace documentation completed by the candidate</w:t>
            </w:r>
          </w:p>
          <w:p w:rsidR="00000000" w:rsidRPr="00FB7DBC" w:rsidP="00FB7DBC">
            <w:pPr>
              <w:pStyle w:val="ListBullet"/>
            </w:pPr>
            <w:r w:rsidRPr="00FB7DBC">
              <w:t>feedback from peers and supervisors</w:t>
            </w:r>
          </w:p>
          <w:p w:rsidR="00000000" w:rsidRPr="00FB7DBC" w:rsidP="00FB7DBC">
            <w:pPr>
              <w:pStyle w:val="ListBullet"/>
            </w:pPr>
            <w:r w:rsidRPr="00FB7DBC">
              <w:t>observation of t</w:t>
            </w:r>
            <w:r w:rsidRPr="00FB7DBC">
              <w:t>he candidate performing calibration checks and basic maintenance tasks</w:t>
            </w:r>
          </w:p>
          <w:p w:rsidR="00000000" w:rsidRPr="00FB7DBC" w:rsidP="00FB7DBC">
            <w:pPr>
              <w:pStyle w:val="BodyText"/>
            </w:pPr>
            <w:r w:rsidRPr="00FB7DBC">
              <w:t xml:space="preserve">In all cases, practical assessment should be supported by questions to assess underpinning knowledge and those aspects of competency which are difficult to assess directly. </w:t>
            </w:r>
          </w:p>
          <w:p w:rsidR="00000000" w:rsidRPr="00FB7DBC" w:rsidP="00FB7DBC">
            <w:pPr>
              <w:pStyle w:val="BodyText"/>
            </w:pPr>
            <w:r w:rsidRPr="00FB7DBC">
              <w:t>Where appli</w:t>
            </w:r>
            <w:r w:rsidRPr="00FB7DBC">
              <w:t xml:space="preserve">cable, reasonable adjustment must be made to work environments and training situations to accommodate ethnicity, age, gender, demographics and disability. </w:t>
            </w:r>
          </w:p>
          <w:p w:rsidR="00000000" w:rsidRPr="00FB7DBC" w:rsidP="00FB7DBC">
            <w:pPr>
              <w:pStyle w:val="BodyText"/>
            </w:pPr>
            <w:r w:rsidRPr="00FB7DBC">
              <w:t xml:space="preserve">Access must be provided to appropriate learning and/or assessment support when required. </w:t>
            </w:r>
          </w:p>
          <w:p w:rsidR="00000000" w:rsidP="00FB7DBC">
            <w:pPr>
              <w:pStyle w:val="BodyText"/>
              <w:rPr>
                <w:lang w:val="en-NZ"/>
              </w:rPr>
            </w:pPr>
            <w:r w:rsidRPr="00FB7DBC">
              <w:t>The langua</w:t>
            </w:r>
            <w:r w:rsidRPr="00FB7DBC">
              <w:t>ge, literacy and numeracy demands of assessment should not be greater than those required to undertake the unit of competency in a work like environment.</w:t>
            </w:r>
          </w:p>
        </w:tc>
      </w:tr>
      <w:tr w:rsidTr="007630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Industry representatives have provided the case studies below to illustra</w:t>
            </w:r>
            <w:r w:rsidRPr="00FB7DBC">
              <w:t>te the practical application of this unit of competency and to show its relevance in a workplace setting.</w:t>
            </w:r>
          </w:p>
          <w:p w:rsidR="00000000" w:rsidRPr="00FB7DBC" w:rsidP="00FB7DBC">
            <w:pPr>
              <w:pStyle w:val="BodyText"/>
            </w:pPr>
            <w:r w:rsidRPr="00FB7DBC">
              <w:rPr>
                <w:rStyle w:val="SpecialBold"/>
              </w:rPr>
              <w:t>Manufacturing and construction materials testing</w:t>
            </w:r>
          </w:p>
          <w:p w:rsidR="00000000" w:rsidRPr="00FB7DBC" w:rsidP="00FB7DBC">
            <w:pPr>
              <w:pStyle w:val="BodyText"/>
            </w:pPr>
            <w:r w:rsidRPr="00FB7DBC">
              <w:t>Laboratory assistants perform calibration checks and operate a range of laboratory equipment to ensur</w:t>
            </w:r>
            <w:r w:rsidRPr="00FB7DBC">
              <w:t>e the quality of products. For example, the labelling on fertilisers specifies the total percentage of nitrogen [N or N(t)], the total percentage of phosphorus [P or P(t)] in all forms and the total percentage of potassium [K]. A 5-10-5 fertiliser contains</w:t>
            </w:r>
            <w:r w:rsidRPr="00FB7DBC">
              <w:t xml:space="preserve"> 5% N, 10% P and 5% K. During the manufacture of fertiliser, an assistant in a quality control laboratory measures the concentration of nitrogen, phosphorus and potassium using standard analytical methods to ensure that the final products are within prescr</w:t>
            </w:r>
            <w:r w:rsidRPr="00FB7DBC">
              <w:t xml:space="preserve">ibed specifications. The assistant must pay particular attention to the equipment calibration check. If the equipment is out of calibration no amount of testing skill will result in accurate results. Selling out of specification fertiliser could result in </w:t>
            </w:r>
            <w:r w:rsidRPr="00FB7DBC">
              <w:t>a product recall or claims from users against the manufacturer.</w:t>
            </w:r>
          </w:p>
          <w:p w:rsidR="00000000" w:rsidRPr="00FB7DBC" w:rsidP="00FB7DBC">
            <w:pPr>
              <w:pStyle w:val="BodyText"/>
            </w:pPr>
            <w:r w:rsidRPr="00FB7DBC">
              <w:rPr>
                <w:rStyle w:val="SpecialBold"/>
              </w:rPr>
              <w:t>Biomedical and environmental services</w:t>
            </w:r>
          </w:p>
          <w:p w:rsidR="00000000" w:rsidRPr="00FB7DBC" w:rsidP="00FB7DBC">
            <w:pPr>
              <w:pStyle w:val="BodyText"/>
            </w:pPr>
            <w:r w:rsidRPr="00FB7DBC">
              <w:t>Laboratory assistants are quite often involved in routine collections and culturing of cells. Bacterial cells are often cultured and grown to large popula</w:t>
            </w:r>
            <w:r w:rsidRPr="00FB7DBC">
              <w:t>tions in order to provide material from which to extract biological materials. A quick method of determining when the cell growth has yielded enough cells is to determine the absorbance of the cell culture by measuring absorbance at 600 nm. An absorbance o</w:t>
            </w:r>
            <w:r w:rsidRPr="00FB7DBC">
              <w:t>f 1 to 1.5 will give a good cell harvest. This method relies on the assistant being able to perform calibration checks on an ultraviolet-visible (UV-VIS) spectrometer.</w:t>
            </w:r>
          </w:p>
          <w:p w:rsidR="00000000" w:rsidRPr="00FB7DBC" w:rsidP="00FB7DBC">
            <w:pPr>
              <w:pStyle w:val="BodyText"/>
            </w:pPr>
            <w:r w:rsidRPr="00FB7DBC">
              <w:rPr>
                <w:rStyle w:val="SpecialBold"/>
              </w:rPr>
              <w:t>Food and beverage processing</w:t>
            </w:r>
          </w:p>
          <w:p w:rsidR="00000000" w:rsidRPr="00FB7DBC" w:rsidP="00FB7DBC">
            <w:pPr>
              <w:pStyle w:val="BodyText"/>
            </w:pPr>
            <w:r w:rsidRPr="00FB7DBC">
              <w:t>A laboratory assistant in the quality control laboratory of</w:t>
            </w:r>
            <w:r w:rsidRPr="00FB7DBC">
              <w:t xml:space="preserve"> a fruit canning company is required to perform calibration checks and maintain and operate a range of equipment, including a pH meter. Canned pears, for example, are routinely checked for pH to ensure safe heat processing. While checking the calibration o</w:t>
            </w:r>
            <w:r w:rsidRPr="00FB7DBC">
              <w:t>f the pH meter with the standard buffer solutions, the laboratory assistant found that stable pH readings could not be obtained. On closer inspection, it was found that the pH probe was damaged. This was reported to the supervisor. The probe was replaced a</w:t>
            </w:r>
            <w:r w:rsidRPr="00FB7DBC">
              <w:t>nd the meter was re-checked for calibration in readiness for routine testing.</w:t>
            </w:r>
          </w:p>
          <w:p w:rsidR="00000000" w:rsidRPr="00FB7DBC" w:rsidP="00FB7DBC">
            <w:pPr>
              <w:pStyle w:val="BodyText"/>
            </w:pPr>
            <w:r w:rsidRPr="00FB7DBC">
              <w:rPr>
                <w:rStyle w:val="SpecialBold"/>
              </w:rPr>
              <w:t>Construction Materials Testing</w:t>
            </w:r>
          </w:p>
          <w:p w:rsidR="00000000" w:rsidRPr="00FB7DBC" w:rsidP="00FB7DBC">
            <w:pPr>
              <w:pStyle w:val="BodyText"/>
            </w:pPr>
            <w:r w:rsidRPr="00FB7DBC">
              <w:t>A laboratory assistant has been allocated the task of performing in-house calibration checks on the laboratory's equipment.  He/she has previously prepared a wall chart for the year that shows when the required calibration checks fall due in accordance wit</w:t>
            </w:r>
            <w:r w:rsidRPr="00FB7DBC">
              <w:t>h the NATA Field Application Document (FAD) for construction materials testing.  The assistant consults the wall chart and notes that this month's calibration checks include checking the:</w:t>
            </w:r>
          </w:p>
          <w:p w:rsidR="00000000" w:rsidRPr="00FB7DBC" w:rsidP="00FB7DBC">
            <w:pPr>
              <w:pStyle w:val="ListBullet"/>
            </w:pPr>
            <w:r w:rsidRPr="00FB7DBC">
              <w:t>ice points of the liquid-in-glass thermometers</w:t>
            </w:r>
          </w:p>
          <w:p w:rsidR="00000000" w:rsidRPr="00FB7DBC" w:rsidP="00FB7DBC">
            <w:pPr>
              <w:pStyle w:val="ListBullet"/>
            </w:pPr>
            <w:r w:rsidRPr="00FB7DBC">
              <w:t>working sieves agains</w:t>
            </w:r>
            <w:r w:rsidRPr="00FB7DBC">
              <w:t>t the reference set</w:t>
            </w:r>
          </w:p>
          <w:p w:rsidR="00000000" w:rsidRPr="00FB7DBC" w:rsidP="00FB7DBC">
            <w:pPr>
              <w:pStyle w:val="ListBullet"/>
            </w:pPr>
            <w:r w:rsidRPr="00FB7DBC">
              <w:t>compaction hammers for compliance with specifications</w:t>
            </w:r>
          </w:p>
          <w:p w:rsidR="00000000" w:rsidRPr="00FB7DBC" w:rsidP="00FB7DBC">
            <w:pPr>
              <w:pStyle w:val="ListBullet"/>
            </w:pPr>
            <w:r w:rsidRPr="00FB7DBC">
              <w:t>repeatability of the balances.</w:t>
            </w:r>
          </w:p>
          <w:p w:rsidR="00000000" w:rsidRPr="00FB7DBC" w:rsidP="00FB7DBC">
            <w:pPr>
              <w:pStyle w:val="BodyText"/>
            </w:pPr>
            <w:r w:rsidRPr="00FB7DBC">
              <w:t xml:space="preserve">A full calibration of one of the laboratory's nuclear density gauges is also required.  He/she then telephones the local calibration authority to book </w:t>
            </w:r>
            <w:r w:rsidRPr="00FB7DBC">
              <w:t>the nuclear gauge in for calibration and prepares to perform the other in-house checks.</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11" w:name="O_102865"/>
      <w:bookmarkEnd w:id="11"/>
      <w:r w:rsidRPr="00FB7DBC">
        <w:t>Range Statement</w:t>
      </w:r>
    </w:p>
    <w:tbl>
      <w:tblPr>
        <w:tblW w:w="0" w:type="auto"/>
        <w:tblLayout w:type="fixed"/>
        <w:tblCellMar>
          <w:left w:w="62" w:type="dxa"/>
          <w:right w:w="62" w:type="dxa"/>
        </w:tblCellMar>
        <w:tblLook w:val="0000"/>
      </w:tblPr>
      <w:tblGrid>
        <w:gridCol w:w="3411"/>
        <w:gridCol w:w="5111"/>
      </w:tblGrid>
      <w:tr w:rsidTr="007630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RANGE STATEMENT</w:t>
            </w:r>
          </w:p>
        </w:tc>
      </w:tr>
      <w:tr w:rsidTr="007630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t>The range statement relates to the unit of competency as a whole. It allows for different work environments and situations that may affect performance. Bold italicised wording, if used in the performance criteria, is detailed below. Essential operating con</w:t>
            </w:r>
            <w:r w:rsidRPr="00FB7DBC">
              <w:t>ditions that may be present with training and assessment (depending on the work situation, needs of the candidate, accessibility of the item, and local industry and regional contexts) may also be included.</w:t>
            </w:r>
          </w:p>
        </w:tc>
      </w:tr>
      <w:tr w:rsidTr="007630C8">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Codes of practice</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t>Where reference is made to Ind</w:t>
            </w:r>
            <w:r w:rsidRPr="00FB7DBC">
              <w:t>ustry codes of practice and Australian/international standards, it is expected the latest version will be used</w:t>
            </w:r>
          </w:p>
        </w:tc>
      </w:tr>
      <w:tr w:rsidTr="007630C8">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Standards</w:t>
            </w:r>
            <w:r w:rsidRPr="00FB7DBC">
              <w:t xml:space="preserve">, </w:t>
            </w:r>
            <w:r w:rsidRPr="00FB7DBC">
              <w:rPr>
                <w:rStyle w:val="SpecialBold"/>
              </w:rPr>
              <w:t>codes</w:t>
            </w:r>
            <w:r w:rsidRPr="00FB7DBC">
              <w:t xml:space="preserve">, </w:t>
            </w:r>
            <w:r w:rsidRPr="00FB7DBC">
              <w:rPr>
                <w:rStyle w:val="SpecialBold"/>
              </w:rPr>
              <w:t>procedures and</w:t>
            </w:r>
            <w:r w:rsidRPr="00FB7DBC">
              <w:t>/</w:t>
            </w:r>
            <w:r w:rsidRPr="00FB7DBC">
              <w:rPr>
                <w:rStyle w:val="SpecialBold"/>
              </w:rPr>
              <w:t>or enterprise requirements</w:t>
            </w:r>
            <w:r w:rsidRPr="00FB7DBC">
              <w:t xml:space="preserve"> </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Standards, codes, procedures and/or enterprise requirements may include:</w:t>
            </w:r>
          </w:p>
          <w:p w:rsidR="00000000" w:rsidRPr="00FB7DBC" w:rsidP="00FB7DBC">
            <w:pPr>
              <w:pStyle w:val="ListBullet"/>
            </w:pPr>
            <w:r w:rsidRPr="00FB7DBC">
              <w:t>Australian</w:t>
            </w:r>
            <w:r w:rsidRPr="00FB7DBC">
              <w:t xml:space="preserve"> and international standards such as: </w:t>
            </w:r>
          </w:p>
          <w:p w:rsidR="00000000" w:rsidRPr="00FB7DBC" w:rsidP="00FB7DBC">
            <w:pPr>
              <w:pStyle w:val="ListBullet2"/>
            </w:pPr>
            <w:r w:rsidRPr="00FB7DBC">
              <w:t>AS/NZS 2243 Set:2006 Safety in laboratories set</w:t>
            </w:r>
          </w:p>
          <w:p w:rsidR="00000000" w:rsidRPr="00FB7DBC" w:rsidP="00FB7DBC">
            <w:pPr>
              <w:pStyle w:val="ListBullet2"/>
            </w:pPr>
            <w:r w:rsidRPr="00FB7DBC">
              <w:t>AS ISO 17025-2005 General requirements for the competence of testing and calibration laboratories</w:t>
            </w:r>
          </w:p>
          <w:p w:rsidR="00000000" w:rsidRPr="00FB7DBC" w:rsidP="00FB7DBC">
            <w:pPr>
              <w:pStyle w:val="ListBullet"/>
            </w:pPr>
            <w:r w:rsidRPr="00FB7DBC">
              <w:t>Australian code of good manufacturing practice for medicinal products (GMP)</w:t>
            </w:r>
          </w:p>
          <w:p w:rsidR="00000000" w:rsidRPr="00FB7DBC" w:rsidP="00FB7DBC">
            <w:pPr>
              <w:pStyle w:val="ListBullet"/>
            </w:pPr>
            <w:r w:rsidRPr="00FB7DBC">
              <w:t>National Association of Testing Authorities (NATA) Field Application Documents (FADs)</w:t>
            </w:r>
          </w:p>
          <w:p w:rsidR="00000000" w:rsidRPr="00FB7DBC" w:rsidP="00FB7DBC">
            <w:pPr>
              <w:pStyle w:val="ListBullet"/>
            </w:pPr>
            <w:r w:rsidRPr="00FB7DBC">
              <w:t>calibration check and maintenance schedules</w:t>
            </w:r>
          </w:p>
          <w:p w:rsidR="00000000" w:rsidRPr="00FB7DBC" w:rsidP="00FB7DBC">
            <w:pPr>
              <w:pStyle w:val="ListBullet"/>
            </w:pPr>
            <w:r w:rsidRPr="00FB7DBC">
              <w:t>enterprise recording and reporting procedures</w:t>
            </w:r>
          </w:p>
          <w:p w:rsidR="00000000" w:rsidRPr="00FB7DBC" w:rsidP="00FB7DBC">
            <w:pPr>
              <w:pStyle w:val="ListBullet"/>
            </w:pPr>
            <w:r w:rsidRPr="00FB7DBC">
              <w:t>equi</w:t>
            </w:r>
            <w:r w:rsidRPr="00FB7DBC">
              <w:t>pment manuals</w:t>
            </w:r>
          </w:p>
          <w:p w:rsidR="00000000" w:rsidRPr="00FB7DBC" w:rsidP="00FB7DBC">
            <w:pPr>
              <w:pStyle w:val="ListBullet"/>
            </w:pPr>
            <w:r w:rsidRPr="00FB7DBC">
              <w:t>equipment start up, operation and shutdown procedures</w:t>
            </w:r>
          </w:p>
          <w:p w:rsidR="00000000" w:rsidRPr="00FB7DBC" w:rsidP="00FB7DBC">
            <w:pPr>
              <w:pStyle w:val="ListBullet"/>
            </w:pPr>
            <w:r w:rsidRPr="00FB7DBC">
              <w:t>material safety data sheets (MSDS)</w:t>
            </w:r>
          </w:p>
          <w:p w:rsidR="00000000" w:rsidRPr="00FB7DBC" w:rsidP="00FB7DBC">
            <w:pPr>
              <w:pStyle w:val="ListBullet"/>
            </w:pPr>
            <w:r w:rsidRPr="00FB7DBC">
              <w:t>material, production and product specifications</w:t>
            </w:r>
          </w:p>
          <w:p w:rsidR="00000000" w:rsidRPr="00FB7DBC" w:rsidP="00FB7DBC">
            <w:pPr>
              <w:pStyle w:val="ListBullet"/>
            </w:pPr>
            <w:r w:rsidRPr="00FB7DBC">
              <w:t>national measurement regulations and guidelines</w:t>
            </w:r>
          </w:p>
          <w:p w:rsidR="00000000" w:rsidRPr="00FB7DBC" w:rsidP="00FB7DBC">
            <w:pPr>
              <w:pStyle w:val="ListBullet"/>
            </w:pPr>
            <w:r w:rsidRPr="00FB7DBC">
              <w:t>OHS national standards and codes of practice</w:t>
            </w:r>
          </w:p>
          <w:p w:rsidR="00000000" w:rsidRPr="00FB7DBC" w:rsidP="00FB7DBC">
            <w:pPr>
              <w:pStyle w:val="ListBullet"/>
            </w:pPr>
            <w:r w:rsidRPr="00FB7DBC">
              <w:t>principles o</w:t>
            </w:r>
            <w:r w:rsidRPr="00FB7DBC">
              <w:t>f good laboratory practice (GLP)</w:t>
            </w:r>
          </w:p>
          <w:p w:rsidR="00000000" w:rsidRPr="00FB7DBC" w:rsidP="00FB7DBC">
            <w:pPr>
              <w:pStyle w:val="ListBullet"/>
            </w:pPr>
            <w:r w:rsidRPr="00FB7DBC">
              <w:t>production and laboratory schedules</w:t>
            </w:r>
          </w:p>
          <w:p w:rsidR="00000000" w:rsidRPr="00FB7DBC" w:rsidP="00FB7DBC">
            <w:pPr>
              <w:pStyle w:val="ListBullet"/>
            </w:pPr>
            <w:r w:rsidRPr="00FB7DBC">
              <w:t>quality manuals</w:t>
            </w:r>
          </w:p>
          <w:p w:rsidR="00000000" w:rsidP="00FB7DBC">
            <w:pPr>
              <w:pStyle w:val="ListBullet"/>
              <w:rPr>
                <w:lang w:val="en-NZ"/>
              </w:rPr>
            </w:pPr>
            <w:r w:rsidRPr="00FB7DBC">
              <w:t>standard operating procedures (SOPs)</w:t>
            </w:r>
          </w:p>
        </w:tc>
      </w:tr>
      <w:tr w:rsidTr="007630C8">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Typical equipment and instruments</w:t>
            </w:r>
            <w:r w:rsidRPr="00FB7DBC">
              <w:t xml:space="preserve"> </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Typical equipment and instruments may include:</w:t>
            </w:r>
          </w:p>
          <w:p w:rsidR="00000000" w:rsidRPr="00FB7DBC" w:rsidP="00FB7DBC">
            <w:pPr>
              <w:pStyle w:val="ListBullet"/>
            </w:pPr>
            <w:r w:rsidRPr="00FB7DBC">
              <w:t xml:space="preserve">balances, pipettes, burettes and volumetric glassware </w:t>
            </w:r>
          </w:p>
          <w:p w:rsidR="00000000" w:rsidRPr="00FB7DBC" w:rsidP="00FB7DBC">
            <w:pPr>
              <w:pStyle w:val="ListBullet"/>
            </w:pPr>
            <w:r w:rsidRPr="00FB7DBC">
              <w:t>colorimeters/spectrometers and polarimeters</w:t>
            </w:r>
          </w:p>
          <w:p w:rsidR="00000000" w:rsidRPr="00FB7DBC" w:rsidP="00FB7DBC">
            <w:pPr>
              <w:pStyle w:val="ListBullet"/>
            </w:pPr>
            <w:r w:rsidRPr="00FB7DBC">
              <w:t>compaction rammers and soil classification equipment</w:t>
            </w:r>
          </w:p>
          <w:p w:rsidR="00000000" w:rsidRPr="00FB7DBC" w:rsidP="00FB7DBC">
            <w:pPr>
              <w:pStyle w:val="ListBullet"/>
            </w:pPr>
            <w:r w:rsidRPr="00FB7DBC">
              <w:t>conductivity meters and pH meters</w:t>
            </w:r>
          </w:p>
          <w:p w:rsidR="00000000" w:rsidRPr="00FB7DBC" w:rsidP="00FB7DBC">
            <w:pPr>
              <w:pStyle w:val="ListBullet"/>
            </w:pPr>
            <w:r w:rsidRPr="00FB7DBC">
              <w:t xml:space="preserve">disintegration apparatus, thermometers, incubators and water baths </w:t>
            </w:r>
          </w:p>
          <w:p w:rsidR="00000000" w:rsidRPr="00FB7DBC" w:rsidP="00FB7DBC">
            <w:pPr>
              <w:pStyle w:val="ListBullet"/>
            </w:pPr>
            <w:r w:rsidRPr="00FB7DBC">
              <w:t>in</w:t>
            </w:r>
            <w:r w:rsidRPr="00FB7DBC">
              <w:t>strument chart recorders, penetrometers, force measuring equipment and tensiometer</w:t>
            </w:r>
          </w:p>
          <w:p w:rsidR="00000000" w:rsidRPr="00FB7DBC" w:rsidP="00FB7DBC">
            <w:pPr>
              <w:pStyle w:val="ListBullet"/>
            </w:pPr>
            <w:r w:rsidRPr="00FB7DBC">
              <w:t xml:space="preserve">melting point apparatus, viscometers and hardness testing equipment </w:t>
            </w:r>
          </w:p>
          <w:p w:rsidR="00000000" w:rsidRPr="00FB7DBC" w:rsidP="00FB7DBC">
            <w:pPr>
              <w:pStyle w:val="ListBullet"/>
            </w:pPr>
            <w:r w:rsidRPr="00FB7DBC">
              <w:t>mixing and separating equipment such as centrifuges, rifflers and splitters, and mixers</w:t>
            </w:r>
          </w:p>
          <w:p w:rsidR="00000000" w:rsidRPr="00FB7DBC" w:rsidP="00FB7DBC">
            <w:pPr>
              <w:pStyle w:val="ListBullet"/>
            </w:pPr>
            <w:r w:rsidRPr="00FB7DBC">
              <w:t>noise meters and</w:t>
            </w:r>
            <w:r w:rsidRPr="00FB7DBC">
              <w:t xml:space="preserve"> blasting meters </w:t>
            </w:r>
          </w:p>
          <w:p w:rsidR="00000000" w:rsidP="00FB7DBC">
            <w:pPr>
              <w:pStyle w:val="ListBullet"/>
              <w:rPr>
                <w:lang w:val="en-NZ"/>
              </w:rPr>
            </w:pPr>
            <w:r w:rsidRPr="00FB7DBC">
              <w:t xml:space="preserve">optical microscopes </w:t>
            </w:r>
          </w:p>
        </w:tc>
      </w:tr>
      <w:tr w:rsidTr="007630C8">
        <w:tblPrEx>
          <w:tblW w:w="0" w:type="auto"/>
          <w:tblLayout w:type="fixed"/>
          <w:tblCellMar>
            <w:left w:w="62" w:type="dxa"/>
            <w:right w:w="62" w:type="dxa"/>
          </w:tblCellMar>
          <w:tblLook w:val="0000"/>
        </w:tblPrEx>
        <w:tc>
          <w:tcPr>
            <w:tcW w:w="3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Occupational health and safety</w:t>
            </w:r>
            <w:r w:rsidRPr="00FB7DBC">
              <w:t xml:space="preserve"> (</w:t>
            </w:r>
            <w:r w:rsidRPr="00FB7DBC">
              <w:rPr>
                <w:rStyle w:val="SpecialBold"/>
              </w:rPr>
              <w:t>OHS</w:t>
            </w:r>
            <w:r w:rsidRPr="00FB7DBC">
              <w:t xml:space="preserve">) </w:t>
            </w:r>
            <w:r w:rsidRPr="00FB7DBC">
              <w:rPr>
                <w:rStyle w:val="SpecialBold"/>
              </w:rPr>
              <w:t>and environmental management requirements</w:t>
            </w:r>
          </w:p>
        </w:tc>
        <w:tc>
          <w:tcPr>
            <w:tcW w:w="51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OHS and environmental management requirements:</w:t>
            </w:r>
          </w:p>
          <w:p w:rsidR="00000000" w:rsidRPr="00FB7DBC" w:rsidP="00FB7DBC">
            <w:pPr>
              <w:pStyle w:val="ListBullet"/>
            </w:pPr>
            <w:r w:rsidRPr="00FB7DBC">
              <w:t xml:space="preserve">all operations must comply with enterprise OHS and environmental management requirements, </w:t>
            </w:r>
            <w:r w:rsidRPr="00FB7DBC">
              <w:t>which may be imposed through state/territory or federal legislation - these requirements must not be compromised at any time</w:t>
            </w:r>
          </w:p>
          <w:p w:rsidR="00000000" w:rsidRPr="00FB7DBC" w:rsidP="00FB7DBC">
            <w:pPr>
              <w:pStyle w:val="ListBullet"/>
            </w:pPr>
            <w:r w:rsidRPr="00FB7DBC">
              <w:t>all operations assume the potentially hazardous nature of samples and require standard precautions to be applied</w:t>
            </w:r>
          </w:p>
          <w:p w:rsidR="00000000" w:rsidRPr="00FB7DBC" w:rsidP="00FB7DBC">
            <w:pPr>
              <w:pStyle w:val="ListBullet"/>
            </w:pPr>
            <w:r w:rsidRPr="00FB7DBC">
              <w:t>where relevant, us</w:t>
            </w:r>
            <w:r w:rsidRPr="00FB7DBC">
              <w:t>ers should access and apply current industry understanding of infection control issued by the National Health and Medical Research Council (NHMRC) and State and Territory Departments of Health</w:t>
            </w:r>
          </w:p>
        </w:tc>
      </w:tr>
    </w:tbl>
    <w:p w:rsidR="007630C8" w:rsidP="00FB7DBC">
      <w:pPr>
        <w:pStyle w:val="BodyText"/>
      </w:pPr>
    </w:p>
    <w:p w:rsidR="007630C8" w:rsidP="00FB7DBC">
      <w:pPr>
        <w:pStyle w:val="BodyText"/>
      </w:pPr>
    </w:p>
    <w:p w:rsidR="00000000" w:rsidRPr="00FB7DBC" w:rsidP="00FB7DBC">
      <w:pPr>
        <w:pStyle w:val="Heading1"/>
      </w:pPr>
      <w:bookmarkStart w:id="12" w:name="O_102866"/>
      <w:bookmarkEnd w:id="12"/>
      <w:r w:rsidRPr="00FB7DBC">
        <w:t>Unit Sector(s)</w:t>
      </w:r>
    </w:p>
    <w:tbl>
      <w:tblPr>
        <w:tblW w:w="0" w:type="auto"/>
        <w:tblLayout w:type="fixed"/>
        <w:tblCellMar>
          <w:left w:w="62" w:type="dxa"/>
          <w:right w:w="62" w:type="dxa"/>
        </w:tblCellMar>
        <w:tblLook w:val="0000"/>
      </w:tblPr>
      <w:tblGrid>
        <w:gridCol w:w="2601"/>
        <w:gridCol w:w="5921"/>
      </w:tblGrid>
      <w:tr w:rsidTr="007630C8">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r w:rsidRPr="00FB7DBC">
              <w:t>Maintenance</w:t>
            </w: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13" w:name="O_159458"/>
      <w:bookmarkEnd w:id="13"/>
      <w:r w:rsidRPr="00FB7DBC">
        <w:t>Competency field</w:t>
      </w:r>
    </w:p>
    <w:tbl>
      <w:tblPr>
        <w:tblW w:w="0" w:type="auto"/>
        <w:tblLayout w:type="fixed"/>
        <w:tblCellMar>
          <w:left w:w="62" w:type="dxa"/>
          <w:right w:w="62" w:type="dxa"/>
        </w:tblCellMar>
        <w:tblLook w:val="0000"/>
      </w:tblPr>
      <w:tblGrid>
        <w:gridCol w:w="2784"/>
        <w:gridCol w:w="5738"/>
      </w:tblGrid>
      <w:tr w:rsidTr="007630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p>
        </w:tc>
      </w:tr>
    </w:tbl>
    <w:p w:rsidR="00000000" w:rsidRPr="00FB7DBC" w:rsidP="00FB7DBC">
      <w:pPr>
        <w:pStyle w:val="BodyText"/>
      </w:pPr>
    </w:p>
    <w:p w:rsidR="00000000" w:rsidRPr="00FB7DBC" w:rsidP="00FB7DBC">
      <w:pPr>
        <w:pStyle w:val="AllowPageBreak"/>
      </w:pPr>
    </w:p>
    <w:p w:rsidR="00000000" w:rsidRPr="00FB7DBC" w:rsidP="00FB7DBC">
      <w:pPr>
        <w:pStyle w:val="Heading1"/>
      </w:pPr>
      <w:bookmarkStart w:id="14" w:name="O_159457"/>
      <w:bookmarkEnd w:id="14"/>
      <w:r w:rsidRPr="00FB7DBC">
        <w:t>Co-requisite units</w:t>
      </w:r>
    </w:p>
    <w:tbl>
      <w:tblPr>
        <w:tblW w:w="0" w:type="auto"/>
        <w:tblLayout w:type="fixed"/>
        <w:tblCellMar>
          <w:left w:w="62" w:type="dxa"/>
          <w:right w:w="62" w:type="dxa"/>
        </w:tblCellMar>
        <w:tblLook w:val="0000"/>
      </w:tblPr>
      <w:tblGrid>
        <w:gridCol w:w="2641"/>
        <w:gridCol w:w="1322"/>
        <w:gridCol w:w="4559"/>
      </w:tblGrid>
      <w:tr w:rsidTr="007630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r w:rsidRPr="00FB7D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p>
        </w:tc>
      </w:tr>
      <w:tr w:rsidTr="00763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DBC">
            <w:pPr>
              <w:pStyle w:val="BodyText"/>
              <w:rPr>
                <w:lang w:val="en-NZ"/>
              </w:rPr>
            </w:pPr>
          </w:p>
        </w:tc>
      </w:tr>
      <w:tr w:rsidTr="007630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DBC" w:rsidP="00FB7DBC">
            <w:pPr>
              <w:pStyle w:val="BodyText"/>
            </w:pPr>
          </w:p>
        </w:tc>
      </w:tr>
    </w:tbl>
    <w:p w:rsidR="00000000" w:rsidRPr="00FB7DBC" w:rsidP="00FB7DBC">
      <w:pPr>
        <w:pStyle w:val="BodyText"/>
      </w:pPr>
    </w:p>
    <w:p w:rsidR="00000000" w:rsidRPr="00FB7DBC" w:rsidP="00FB7DBC"/>
    <w:sectPr w:rsidSect="00FB7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0C8" w:rsidP="007630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8" w:rsidP="00FB7D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630C8" w:rsidP="00FB7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30C8" w:rsidP="00FB7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BC" w:rsidRPr="007630C8" w:rsidP="007630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0C8" w:rsidRPr="002D2AF8" w:rsidP="00FB7DBC">
    <w:pPr>
      <w:pStyle w:val="Header"/>
      <w:framePr w:wrap="around"/>
    </w:pPr>
    <w:r>
      <w:fldChar w:fldCharType="begin"/>
    </w:r>
    <w:r>
      <w:instrText xml:space="preserve"> TITLE   \* MERGEFORMAT </w:instrText>
    </w:r>
    <w:r>
      <w:fldChar w:fldCharType="separate"/>
    </w:r>
    <w:r>
      <w:t>MSL933004A Perform calibration checks on equipment and assist with its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630C8" w:rsidP="00FB7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028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A0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ACB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DBC"/>
    <w:pPr>
      <w:spacing w:before="360" w:after="60"/>
      <w:outlineLvl w:val="0"/>
    </w:pPr>
    <w:rPr>
      <w:sz w:val="32"/>
    </w:rPr>
  </w:style>
  <w:style w:type="paragraph" w:styleId="Heading2">
    <w:name w:val="heading 2"/>
    <w:basedOn w:val="HeadingBase"/>
    <w:next w:val="BodyText"/>
    <w:link w:val="Heading2Char"/>
    <w:qFormat/>
    <w:rsid w:val="00FB7DBC"/>
    <w:pPr>
      <w:keepLines/>
      <w:spacing w:before="240" w:after="120"/>
      <w:outlineLvl w:val="1"/>
    </w:pPr>
    <w:rPr>
      <w:sz w:val="28"/>
      <w:szCs w:val="40"/>
    </w:rPr>
  </w:style>
  <w:style w:type="paragraph" w:styleId="Heading3">
    <w:name w:val="heading 3"/>
    <w:basedOn w:val="HeadingBase"/>
    <w:next w:val="BodyText"/>
    <w:link w:val="Heading3Char"/>
    <w:qFormat/>
    <w:rsid w:val="00FB7DBC"/>
    <w:pPr>
      <w:spacing w:before="180" w:after="120"/>
      <w:outlineLvl w:val="2"/>
    </w:pPr>
    <w:rPr>
      <w:spacing w:val="-10"/>
      <w:kern w:val="32"/>
    </w:rPr>
  </w:style>
  <w:style w:type="paragraph" w:styleId="Heading4">
    <w:name w:val="heading 4"/>
    <w:basedOn w:val="HeadingBase"/>
    <w:next w:val="BodyText"/>
    <w:link w:val="Heading4Char"/>
    <w:qFormat/>
    <w:rsid w:val="00FB7DBC"/>
    <w:pPr>
      <w:spacing w:before="160" w:after="120"/>
      <w:outlineLvl w:val="3"/>
    </w:pPr>
    <w:rPr>
      <w:sz w:val="22"/>
    </w:rPr>
  </w:style>
  <w:style w:type="paragraph" w:styleId="Heading5">
    <w:name w:val="heading 5"/>
    <w:basedOn w:val="HeadingBase"/>
    <w:next w:val="Normal"/>
    <w:link w:val="Heading5Char"/>
    <w:qFormat/>
    <w:rsid w:val="00FB7DBC"/>
    <w:pPr>
      <w:spacing w:before="80"/>
      <w:outlineLvl w:val="4"/>
    </w:pPr>
    <w:rPr>
      <w:color w:val="918585"/>
      <w:sz w:val="20"/>
    </w:rPr>
  </w:style>
  <w:style w:type="paragraph" w:styleId="Heading6">
    <w:name w:val="heading 6"/>
    <w:basedOn w:val="HeadingBase"/>
    <w:next w:val="Normal"/>
    <w:link w:val="Heading6Char"/>
    <w:qFormat/>
    <w:rsid w:val="00FB7DBC"/>
    <w:pPr>
      <w:spacing w:before="60"/>
      <w:outlineLvl w:val="5"/>
    </w:pPr>
    <w:rPr>
      <w:color w:val="918585"/>
      <w:sz w:val="20"/>
    </w:rPr>
  </w:style>
  <w:style w:type="paragraph" w:styleId="Heading7">
    <w:name w:val="heading 7"/>
    <w:basedOn w:val="Normal"/>
    <w:next w:val="Normal"/>
    <w:link w:val="Heading7Char"/>
    <w:qFormat/>
    <w:rsid w:val="00FB7DBC"/>
    <w:pPr>
      <w:ind w:left="720"/>
      <w:outlineLvl w:val="6"/>
    </w:pPr>
    <w:rPr>
      <w:i/>
    </w:rPr>
  </w:style>
  <w:style w:type="paragraph" w:styleId="Heading8">
    <w:name w:val="heading 8"/>
    <w:basedOn w:val="Normal"/>
    <w:next w:val="Normal"/>
    <w:link w:val="Heading8Char"/>
    <w:qFormat/>
    <w:rsid w:val="00FB7DBC"/>
    <w:pPr>
      <w:ind w:left="720"/>
      <w:outlineLvl w:val="7"/>
    </w:pPr>
    <w:rPr>
      <w:i/>
    </w:rPr>
  </w:style>
  <w:style w:type="paragraph" w:styleId="Heading9">
    <w:name w:val="heading 9"/>
    <w:basedOn w:val="Normal"/>
    <w:next w:val="Normal"/>
    <w:link w:val="Heading9Char"/>
    <w:qFormat/>
    <w:rsid w:val="00FB7DBC"/>
    <w:pPr>
      <w:ind w:left="720"/>
      <w:outlineLvl w:val="8"/>
    </w:pPr>
    <w:rPr>
      <w:i/>
    </w:rPr>
  </w:style>
  <w:style w:type="character" w:default="1" w:styleId="DefaultParagraphFont">
    <w:name w:val="Default Paragraph Font"/>
    <w:uiPriority w:val="1"/>
    <w:unhideWhenUsed/>
    <w:rsid w:val="00FB7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DBC"/>
  </w:style>
  <w:style w:type="character" w:customStyle="1" w:styleId="Heading1Char">
    <w:name w:val="Heading 1 Char"/>
    <w:basedOn w:val="DefaultParagraphFont"/>
    <w:link w:val="Heading1"/>
    <w:rsid w:val="00FB7DBC"/>
    <w:rPr>
      <w:rFonts w:ascii="Times New Roman" w:eastAsia="Times New Roman" w:hAnsi="Times New Roman" w:cs="Times New Roman"/>
      <w:b/>
      <w:sz w:val="32"/>
      <w:szCs w:val="20"/>
      <w:lang w:eastAsia="en-US"/>
    </w:rPr>
  </w:style>
  <w:style w:type="paragraph" w:styleId="BodyText">
    <w:name w:val="Body Text"/>
    <w:basedOn w:val="Normal"/>
    <w:link w:val="BodyTextChar"/>
    <w:rsid w:val="00FB7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DBC"/>
    <w:rPr>
      <w:rFonts w:ascii="Times New Roman" w:eastAsia="Times New Roman" w:hAnsi="Times New Roman" w:cs="Times New Roman"/>
      <w:sz w:val="24"/>
      <w:lang w:eastAsia="en-US"/>
    </w:rPr>
  </w:style>
  <w:style w:type="paragraph" w:styleId="Footer">
    <w:name w:val="footer"/>
    <w:basedOn w:val="Normal"/>
    <w:link w:val="FooterChar"/>
    <w:rsid w:val="00FB7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DBC"/>
    <w:rPr>
      <w:rFonts w:ascii="Times New Roman" w:eastAsia="Times New Roman" w:hAnsi="Times New Roman" w:cs="Times New Roman"/>
      <w:sz w:val="16"/>
      <w:lang w:eastAsia="en-US"/>
    </w:rPr>
  </w:style>
  <w:style w:type="paragraph" w:styleId="List">
    <w:name w:val="List"/>
    <w:basedOn w:val="BodyText"/>
    <w:next w:val="BodyText"/>
    <w:rsid w:val="00FB7DBC"/>
    <w:pPr>
      <w:tabs>
        <w:tab w:val="left" w:pos="340"/>
      </w:tabs>
      <w:spacing w:before="60" w:after="60"/>
      <w:ind w:left="340" w:hanging="340"/>
    </w:pPr>
  </w:style>
  <w:style w:type="paragraph" w:styleId="ListBullet">
    <w:name w:val="List Bullet"/>
    <w:basedOn w:val="List"/>
    <w:rsid w:val="00FB7DBC"/>
    <w:pPr>
      <w:numPr>
        <w:numId w:val="13"/>
      </w:numPr>
      <w:tabs>
        <w:tab w:val="clear" w:pos="340"/>
      </w:tabs>
      <w:spacing w:before="40" w:after="40"/>
    </w:pPr>
  </w:style>
  <w:style w:type="character" w:customStyle="1" w:styleId="SpecialBold">
    <w:name w:val="Special Bold"/>
    <w:basedOn w:val="DefaultParagraphFont"/>
    <w:rsid w:val="00FB7DBC"/>
    <w:rPr>
      <w:b/>
      <w:spacing w:val="0"/>
    </w:rPr>
  </w:style>
  <w:style w:type="paragraph" w:styleId="ListBullet2">
    <w:name w:val="List Bullet 2"/>
    <w:basedOn w:val="List2"/>
    <w:rsid w:val="00FB7DBC"/>
    <w:pPr>
      <w:numPr>
        <w:numId w:val="14"/>
      </w:numPr>
      <w:tabs>
        <w:tab w:val="clear" w:pos="680"/>
      </w:tabs>
    </w:pPr>
  </w:style>
  <w:style w:type="character" w:styleId="Emphasis">
    <w:name w:val="Emphasis"/>
    <w:basedOn w:val="DefaultParagraphFont"/>
    <w:qFormat/>
    <w:rsid w:val="00FB7DBC"/>
    <w:rPr>
      <w:i/>
    </w:rPr>
  </w:style>
  <w:style w:type="paragraph" w:customStyle="1" w:styleId="SuperHeading">
    <w:name w:val="SuperHeading"/>
    <w:basedOn w:val="Normal"/>
    <w:rsid w:val="00FB7DBC"/>
    <w:pPr>
      <w:spacing w:before="240" w:after="120"/>
      <w:outlineLvl w:val="0"/>
    </w:pPr>
    <w:rPr>
      <w:rFonts w:ascii="Times New Roman" w:hAnsi="Times New Roman"/>
      <w:b/>
      <w:sz w:val="28"/>
    </w:rPr>
  </w:style>
  <w:style w:type="paragraph" w:customStyle="1" w:styleId="AllowPageBreak">
    <w:name w:val="AllowPageBreak"/>
    <w:rsid w:val="00FB7D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DBC"/>
    <w:pPr>
      <w:tabs>
        <w:tab w:val="left" w:pos="680"/>
      </w:tabs>
      <w:spacing w:before="60" w:after="60"/>
      <w:ind w:left="680" w:hanging="340"/>
    </w:pPr>
  </w:style>
  <w:style w:type="character" w:customStyle="1" w:styleId="Heading2Char">
    <w:name w:val="Heading 2 Char"/>
    <w:basedOn w:val="DefaultParagraphFont"/>
    <w:link w:val="Heading2"/>
    <w:rsid w:val="00FB7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DBC"/>
    <w:rPr>
      <w:rFonts w:ascii="Courier New" w:eastAsia="Times New Roman" w:hAnsi="Courier New" w:cs="Times New Roman"/>
      <w:i/>
      <w:szCs w:val="20"/>
      <w:lang w:eastAsia="en-US"/>
    </w:rPr>
  </w:style>
  <w:style w:type="paragraph" w:customStyle="1" w:styleId="HeadingBase">
    <w:name w:val="Heading Base"/>
    <w:rsid w:val="00FB7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DBC"/>
    <w:pPr>
      <w:tabs>
        <w:tab w:val="right" w:leader="dot" w:pos="9072"/>
      </w:tabs>
      <w:ind w:left="567"/>
    </w:pPr>
    <w:rPr>
      <w:szCs w:val="22"/>
    </w:rPr>
  </w:style>
  <w:style w:type="paragraph" w:customStyle="1" w:styleId="TOCBase">
    <w:name w:val="TOC Base"/>
    <w:rsid w:val="00FB7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DBC"/>
    <w:pPr>
      <w:tabs>
        <w:tab w:val="right" w:leader="dot" w:pos="9072"/>
      </w:tabs>
      <w:spacing w:before="40" w:after="40"/>
      <w:ind w:left="284"/>
    </w:pPr>
    <w:rPr>
      <w:rFonts w:ascii="Times New Roman" w:hAnsi="Times New Roman"/>
    </w:rPr>
  </w:style>
  <w:style w:type="paragraph" w:styleId="TOC1">
    <w:name w:val="toc 1"/>
    <w:basedOn w:val="TOCBase"/>
    <w:next w:val="Normal"/>
    <w:rsid w:val="00FB7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DBC"/>
    <w:pPr>
      <w:spacing w:before="5040"/>
      <w:jc w:val="center"/>
    </w:pPr>
    <w:rPr>
      <w:sz w:val="48"/>
      <w:szCs w:val="72"/>
      <w:lang w:val="en-US"/>
    </w:rPr>
  </w:style>
  <w:style w:type="character" w:customStyle="1" w:styleId="TitleChar">
    <w:name w:val="Title Char"/>
    <w:basedOn w:val="DefaultParagraphFont"/>
    <w:link w:val="Title"/>
    <w:rsid w:val="00FB7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DBC"/>
    <w:pPr>
      <w:tabs>
        <w:tab w:val="left" w:pos="3600"/>
        <w:tab w:val="left" w:pos="3958"/>
      </w:tabs>
    </w:pPr>
  </w:style>
  <w:style w:type="paragraph" w:customStyle="1" w:styleId="Note">
    <w:name w:val="Note"/>
    <w:basedOn w:val="BodyText"/>
    <w:rsid w:val="00FB7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DBC"/>
    <w:pPr>
      <w:framePr w:wrap="auto" w:hAnchor="text" w:y="6049"/>
    </w:pPr>
    <w:rPr>
      <w:color w:val="000000"/>
      <w:sz w:val="40"/>
    </w:rPr>
  </w:style>
  <w:style w:type="paragraph" w:customStyle="1" w:styleId="TOCTitle">
    <w:name w:val="TOCTitle"/>
    <w:basedOn w:val="Heading1"/>
    <w:rsid w:val="00FB7DBC"/>
    <w:pPr>
      <w:spacing w:after="240"/>
      <w:jc w:val="center"/>
      <w:outlineLvl w:val="9"/>
    </w:pPr>
    <w:rPr>
      <w:caps/>
    </w:rPr>
  </w:style>
  <w:style w:type="paragraph" w:customStyle="1" w:styleId="Version">
    <w:name w:val="Version"/>
    <w:rsid w:val="00FB7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DBC"/>
    <w:pPr>
      <w:keepNext w:val="0"/>
      <w:tabs>
        <w:tab w:val="right" w:pos="4176"/>
      </w:tabs>
      <w:ind w:left="198" w:hanging="198"/>
    </w:pPr>
    <w:rPr>
      <w:rFonts w:ascii="Garamond" w:hAnsi="Garamond"/>
    </w:rPr>
  </w:style>
  <w:style w:type="paragraph" w:styleId="IndexHeading">
    <w:name w:val="index heading"/>
    <w:basedOn w:val="Normal"/>
    <w:next w:val="Index1"/>
    <w:semiHidden/>
    <w:rsid w:val="00FB7DBC"/>
    <w:pPr>
      <w:spacing w:before="120" w:after="120"/>
    </w:pPr>
    <w:rPr>
      <w:rFonts w:ascii="Arial" w:hAnsi="Arial"/>
      <w:b/>
      <w:color w:val="918585"/>
      <w:sz w:val="24"/>
    </w:rPr>
  </w:style>
  <w:style w:type="paragraph" w:styleId="Header">
    <w:name w:val="header"/>
    <w:basedOn w:val="Normal"/>
    <w:link w:val="HeaderChar"/>
    <w:rsid w:val="00FB7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DBC"/>
    <w:rPr>
      <w:rFonts w:ascii="Times New Roman" w:eastAsia="Times New Roman" w:hAnsi="Times New Roman" w:cs="Times New Roman"/>
      <w:sz w:val="16"/>
      <w:szCs w:val="20"/>
      <w:lang w:val="en-GB" w:eastAsia="en-US"/>
    </w:rPr>
  </w:style>
  <w:style w:type="paragraph" w:customStyle="1" w:styleId="Chapter">
    <w:name w:val="Chapter"/>
    <w:basedOn w:val="Normal"/>
    <w:rsid w:val="00FB7DBC"/>
    <w:pPr>
      <w:spacing w:before="240"/>
    </w:pPr>
    <w:rPr>
      <w:rFonts w:ascii="Times New Roman" w:hAnsi="Times New Roman"/>
      <w:smallCaps/>
      <w:spacing w:val="80"/>
      <w:sz w:val="28"/>
    </w:rPr>
  </w:style>
  <w:style w:type="paragraph" w:customStyle="1" w:styleId="InChapter">
    <w:name w:val="InChapter"/>
    <w:basedOn w:val="Heading3"/>
    <w:rsid w:val="00FB7DBC"/>
    <w:pPr>
      <w:spacing w:after="240"/>
      <w:outlineLvl w:val="9"/>
    </w:pPr>
    <w:rPr>
      <w:noProof/>
    </w:rPr>
  </w:style>
  <w:style w:type="paragraph" w:styleId="Index2">
    <w:name w:val="index 2"/>
    <w:basedOn w:val="Normal"/>
    <w:next w:val="Normal"/>
    <w:semiHidden/>
    <w:rsid w:val="00FB7DBC"/>
    <w:pPr>
      <w:tabs>
        <w:tab w:val="right" w:pos="4176"/>
      </w:tabs>
      <w:ind w:left="568" w:hanging="284"/>
    </w:pPr>
    <w:rPr>
      <w:rFonts w:ascii="Garamond" w:hAnsi="Garamond"/>
    </w:rPr>
  </w:style>
  <w:style w:type="paragraph" w:customStyle="1" w:styleId="Byline">
    <w:name w:val="Byline"/>
    <w:rsid w:val="00FB7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DBC"/>
    <w:pPr>
      <w:tabs>
        <w:tab w:val="clear" w:pos="3600"/>
        <w:tab w:val="clear" w:pos="3958"/>
      </w:tabs>
      <w:jc w:val="right"/>
    </w:pPr>
  </w:style>
  <w:style w:type="paragraph" w:styleId="Caption">
    <w:name w:val="caption"/>
    <w:basedOn w:val="BodyText"/>
    <w:next w:val="Normal"/>
    <w:qFormat/>
    <w:rsid w:val="00FB7DBC"/>
    <w:pPr>
      <w:framePr w:w="2268" w:hSpace="181" w:vSpace="181" w:wrap="around" w:vAnchor="text" w:hAnchor="page" w:x="1135" w:y="285" w:anchorLock="1"/>
    </w:pPr>
    <w:rPr>
      <w:i/>
    </w:rPr>
  </w:style>
  <w:style w:type="paragraph" w:customStyle="1" w:styleId="MiniTOCTitle">
    <w:name w:val="MiniTOCTitle"/>
    <w:basedOn w:val="Heading4"/>
    <w:rsid w:val="00FB7DBC"/>
    <w:pPr>
      <w:spacing w:before="240"/>
      <w:outlineLvl w:val="9"/>
    </w:pPr>
    <w:rPr>
      <w:noProof/>
      <w:sz w:val="24"/>
    </w:rPr>
  </w:style>
  <w:style w:type="paragraph" w:customStyle="1" w:styleId="MiniTOCItem">
    <w:name w:val="MiniTOCItem"/>
    <w:basedOn w:val="ListBullet"/>
    <w:rsid w:val="00FB7DBC"/>
    <w:pPr>
      <w:numPr>
        <w:numId w:val="0"/>
      </w:numPr>
      <w:tabs>
        <w:tab w:val="right" w:leader="dot" w:pos="6521"/>
      </w:tabs>
      <w:spacing w:before="0" w:after="0"/>
    </w:pPr>
  </w:style>
  <w:style w:type="paragraph" w:customStyle="1" w:styleId="TOFTitle">
    <w:name w:val="TOFTitle"/>
    <w:basedOn w:val="TOCTitle"/>
    <w:rsid w:val="00FB7DBC"/>
  </w:style>
  <w:style w:type="paragraph" w:styleId="TableofFigures">
    <w:name w:val="table of figures"/>
    <w:basedOn w:val="Normal"/>
    <w:next w:val="Normal"/>
    <w:semiHidden/>
    <w:rsid w:val="00FB7DBC"/>
    <w:pPr>
      <w:tabs>
        <w:tab w:val="right" w:leader="dot" w:pos="9072"/>
      </w:tabs>
      <w:ind w:left="970" w:hanging="403"/>
    </w:pPr>
    <w:rPr>
      <w:rFonts w:ascii="Times New Roman" w:hAnsi="Times New Roman"/>
      <w:b/>
    </w:rPr>
  </w:style>
  <w:style w:type="paragraph" w:styleId="ListNumber">
    <w:name w:val="List Number"/>
    <w:basedOn w:val="List"/>
    <w:rsid w:val="00FB7DBC"/>
    <w:pPr>
      <w:numPr>
        <w:numId w:val="11"/>
      </w:numPr>
    </w:pPr>
  </w:style>
  <w:style w:type="character" w:customStyle="1" w:styleId="WingdingSymbols">
    <w:name w:val="Wingding Symbols"/>
    <w:rsid w:val="00FB7DBC"/>
    <w:rPr>
      <w:rFonts w:ascii="Wingdings" w:hAnsi="Wingdings"/>
    </w:rPr>
  </w:style>
  <w:style w:type="paragraph" w:customStyle="1" w:styleId="TableHeading">
    <w:name w:val="Table Heading"/>
    <w:basedOn w:val="HeadingBase"/>
    <w:rsid w:val="00FB7DBC"/>
    <w:pPr>
      <w:keepLines/>
      <w:pBdr>
        <w:bottom w:val="single" w:sz="6" w:space="1" w:color="918585"/>
      </w:pBdr>
      <w:spacing w:before="240"/>
    </w:pPr>
  </w:style>
  <w:style w:type="character" w:customStyle="1" w:styleId="HotSpot">
    <w:name w:val="HotSpot"/>
    <w:rsid w:val="00FB7DBC"/>
    <w:rPr>
      <w:color w:val="0033CC"/>
      <w:u w:val="none"/>
    </w:rPr>
  </w:style>
  <w:style w:type="paragraph" w:customStyle="1" w:styleId="BodyTextRight">
    <w:name w:val="Body Text Right"/>
    <w:basedOn w:val="BodyText"/>
    <w:rsid w:val="00FB7DBC"/>
    <w:pPr>
      <w:spacing w:before="0" w:after="0"/>
      <w:jc w:val="right"/>
    </w:pPr>
  </w:style>
  <w:style w:type="paragraph" w:styleId="Index3">
    <w:name w:val="index 3"/>
    <w:basedOn w:val="ListNumber2"/>
    <w:next w:val="Normal"/>
    <w:semiHidden/>
    <w:rsid w:val="00FB7DBC"/>
    <w:pPr>
      <w:numPr>
        <w:numId w:val="0"/>
      </w:numPr>
      <w:tabs>
        <w:tab w:val="right" w:leader="dot" w:pos="4176"/>
      </w:tabs>
    </w:pPr>
  </w:style>
  <w:style w:type="paragraph" w:styleId="ListNumber2">
    <w:name w:val="List Number 2"/>
    <w:basedOn w:val="List2"/>
    <w:rsid w:val="00FB7DBC"/>
    <w:pPr>
      <w:numPr>
        <w:numId w:val="10"/>
      </w:numPr>
      <w:tabs>
        <w:tab w:val="clear" w:pos="1060"/>
      </w:tabs>
    </w:pPr>
  </w:style>
  <w:style w:type="paragraph" w:customStyle="1" w:styleId="MarginNote">
    <w:name w:val="Margin Note"/>
    <w:basedOn w:val="BodyText"/>
    <w:rsid w:val="00FB7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DBC"/>
    <w:rPr>
      <w:sz w:val="32"/>
    </w:rPr>
  </w:style>
  <w:style w:type="paragraph" w:customStyle="1" w:styleId="HeadingProcedure">
    <w:name w:val="Heading Procedure"/>
    <w:basedOn w:val="HeadingBase"/>
    <w:next w:val="Normal"/>
    <w:rsid w:val="00FB7DBC"/>
    <w:pPr>
      <w:tabs>
        <w:tab w:val="left" w:pos="0"/>
      </w:tabs>
      <w:spacing w:before="120" w:after="60"/>
    </w:pPr>
    <w:rPr>
      <w:i/>
      <w:color w:val="918585"/>
      <w:sz w:val="22"/>
    </w:rPr>
  </w:style>
  <w:style w:type="paragraph" w:customStyle="1" w:styleId="TableBodyText">
    <w:name w:val="Table Body Text"/>
    <w:basedOn w:val="BodyText"/>
    <w:rsid w:val="00FB7DBC"/>
    <w:pPr>
      <w:spacing w:before="60" w:after="60"/>
    </w:pPr>
  </w:style>
  <w:style w:type="paragraph" w:styleId="ListContinue">
    <w:name w:val="List Continue"/>
    <w:basedOn w:val="List"/>
    <w:rsid w:val="00FB7DBC"/>
    <w:pPr>
      <w:ind w:firstLine="0"/>
    </w:pPr>
  </w:style>
  <w:style w:type="paragraph" w:customStyle="1" w:styleId="ListNote">
    <w:name w:val="List Note"/>
    <w:basedOn w:val="List"/>
    <w:rsid w:val="00FB7DBC"/>
    <w:pPr>
      <w:pBdr>
        <w:top w:val="single" w:sz="6" w:space="2" w:color="918585"/>
        <w:bottom w:val="single" w:sz="6" w:space="2" w:color="918585"/>
      </w:pBdr>
      <w:tabs>
        <w:tab w:val="left" w:pos="1021"/>
      </w:tabs>
      <w:ind w:firstLine="0"/>
    </w:pPr>
  </w:style>
  <w:style w:type="paragraph" w:customStyle="1" w:styleId="Warning">
    <w:name w:val="Warning"/>
    <w:basedOn w:val="BodyText"/>
    <w:rsid w:val="00FB7DBC"/>
    <w:pPr>
      <w:shd w:val="clear" w:color="auto" w:fill="D9D9D9"/>
      <w:tabs>
        <w:tab w:val="left" w:pos="992"/>
      </w:tabs>
      <w:ind w:left="119" w:right="119"/>
    </w:pPr>
    <w:rPr>
      <w:sz w:val="20"/>
    </w:rPr>
  </w:style>
  <w:style w:type="paragraph" w:customStyle="1" w:styleId="MarginIcons">
    <w:name w:val="Margin Icons"/>
    <w:basedOn w:val="BodyText"/>
    <w:rsid w:val="00FB7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DBC"/>
    <w:rPr>
      <w:rFonts w:ascii="Courier New" w:hAnsi="Courier New"/>
    </w:rPr>
  </w:style>
  <w:style w:type="paragraph" w:customStyle="1" w:styleId="NoteBullet">
    <w:name w:val="Note Bullet"/>
    <w:basedOn w:val="Note"/>
    <w:rsid w:val="00FB7DBC"/>
    <w:pPr>
      <w:tabs>
        <w:tab w:val="clear" w:pos="680"/>
      </w:tabs>
      <w:spacing w:before="60" w:after="60"/>
    </w:pPr>
  </w:style>
  <w:style w:type="paragraph" w:customStyle="1" w:styleId="SubHeading2">
    <w:name w:val="SubHeading2"/>
    <w:basedOn w:val="HeadingBase"/>
    <w:rsid w:val="00FB7DBC"/>
    <w:pPr>
      <w:spacing w:before="240" w:after="60"/>
    </w:pPr>
    <w:rPr>
      <w:sz w:val="20"/>
    </w:rPr>
  </w:style>
  <w:style w:type="paragraph" w:customStyle="1" w:styleId="SubHeading1">
    <w:name w:val="SubHeading1"/>
    <w:basedOn w:val="HeadingBase"/>
    <w:rsid w:val="00FB7DBC"/>
    <w:pPr>
      <w:spacing w:before="240" w:after="60"/>
    </w:pPr>
    <w:rPr>
      <w:color w:val="918585"/>
      <w:sz w:val="22"/>
    </w:rPr>
  </w:style>
  <w:style w:type="paragraph" w:customStyle="1" w:styleId="SideHeading">
    <w:name w:val="Side Heading"/>
    <w:basedOn w:val="HeadingBase"/>
    <w:rsid w:val="00FB7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DBC"/>
    <w:pPr>
      <w:numPr>
        <w:numId w:val="12"/>
      </w:numPr>
    </w:pPr>
  </w:style>
  <w:style w:type="paragraph" w:styleId="PlainText">
    <w:name w:val="Plain Text"/>
    <w:basedOn w:val="Normal"/>
    <w:link w:val="PlainTextChar"/>
    <w:rsid w:val="00FB7DBC"/>
    <w:rPr>
      <w:sz w:val="20"/>
    </w:rPr>
  </w:style>
  <w:style w:type="character" w:customStyle="1" w:styleId="PlainTextChar">
    <w:name w:val="Plain Text Char"/>
    <w:basedOn w:val="DefaultParagraphFont"/>
    <w:link w:val="PlainText"/>
    <w:rsid w:val="00FB7DBC"/>
    <w:rPr>
      <w:rFonts w:ascii="Courier New" w:eastAsia="Times New Roman" w:hAnsi="Courier New" w:cs="Times New Roman"/>
      <w:sz w:val="20"/>
      <w:szCs w:val="20"/>
      <w:lang w:eastAsia="en-US"/>
    </w:rPr>
  </w:style>
  <w:style w:type="character" w:customStyle="1" w:styleId="MenuOption">
    <w:name w:val="Menu Option"/>
    <w:basedOn w:val="DefaultParagraphFont"/>
    <w:rsid w:val="00FB7DBC"/>
    <w:rPr>
      <w:b/>
      <w:smallCaps/>
    </w:rPr>
  </w:style>
  <w:style w:type="paragraph" w:customStyle="1" w:styleId="TableListNumber">
    <w:name w:val="Table List Number"/>
    <w:basedOn w:val="ListNumber"/>
    <w:rsid w:val="00FB7DBC"/>
    <w:pPr>
      <w:numPr>
        <w:numId w:val="0"/>
      </w:numPr>
    </w:pPr>
  </w:style>
  <w:style w:type="paragraph" w:styleId="TOC4">
    <w:name w:val="toc 4"/>
    <w:basedOn w:val="TOCBase"/>
    <w:next w:val="Normal"/>
    <w:semiHidden/>
    <w:rsid w:val="00FB7DBC"/>
    <w:pPr>
      <w:tabs>
        <w:tab w:val="right" w:leader="dot" w:pos="9071"/>
      </w:tabs>
      <w:ind w:left="1701"/>
    </w:pPr>
  </w:style>
  <w:style w:type="paragraph" w:customStyle="1" w:styleId="ListAlpha">
    <w:name w:val="List Alpha"/>
    <w:basedOn w:val="List"/>
    <w:rsid w:val="00FB7DBC"/>
    <w:pPr>
      <w:numPr>
        <w:numId w:val="9"/>
      </w:numPr>
    </w:pPr>
  </w:style>
  <w:style w:type="paragraph" w:customStyle="1" w:styleId="ListAlpha2">
    <w:name w:val="List Alpha 2"/>
    <w:basedOn w:val="List2"/>
    <w:rsid w:val="00FB7DBC"/>
    <w:pPr>
      <w:numPr>
        <w:numId w:val="8"/>
      </w:numPr>
    </w:pPr>
  </w:style>
  <w:style w:type="paragraph" w:styleId="List3">
    <w:name w:val="List 3"/>
    <w:basedOn w:val="BodyText"/>
    <w:rsid w:val="00FB7DBC"/>
    <w:pPr>
      <w:tabs>
        <w:tab w:val="left" w:pos="1021"/>
      </w:tabs>
      <w:spacing w:before="60" w:after="60"/>
      <w:ind w:left="1020" w:hanging="340"/>
    </w:pPr>
  </w:style>
  <w:style w:type="paragraph" w:styleId="List4">
    <w:name w:val="List 4"/>
    <w:basedOn w:val="BodyText"/>
    <w:rsid w:val="00FB7DBC"/>
    <w:pPr>
      <w:tabs>
        <w:tab w:val="left" w:pos="1361"/>
      </w:tabs>
      <w:spacing w:before="60" w:after="60"/>
      <w:ind w:left="1361" w:hanging="340"/>
    </w:pPr>
  </w:style>
  <w:style w:type="paragraph" w:styleId="List5">
    <w:name w:val="List 5"/>
    <w:basedOn w:val="BodyText"/>
    <w:rsid w:val="00FB7DBC"/>
    <w:pPr>
      <w:tabs>
        <w:tab w:val="left" w:pos="1701"/>
      </w:tabs>
      <w:spacing w:before="60" w:after="60"/>
      <w:ind w:left="1701" w:hanging="340"/>
    </w:pPr>
  </w:style>
  <w:style w:type="paragraph" w:styleId="ListBullet3">
    <w:name w:val="List Bullet 3"/>
    <w:basedOn w:val="List3"/>
    <w:rsid w:val="00FB7DBC"/>
    <w:pPr>
      <w:numPr>
        <w:numId w:val="15"/>
      </w:numPr>
      <w:tabs>
        <w:tab w:val="clear" w:pos="1021"/>
      </w:tabs>
      <w:ind w:left="1037" w:hanging="357"/>
    </w:pPr>
  </w:style>
  <w:style w:type="paragraph" w:styleId="ListBullet4">
    <w:name w:val="List Bullet 4"/>
    <w:basedOn w:val="List4"/>
    <w:rsid w:val="00FB7DBC"/>
    <w:pPr>
      <w:numPr>
        <w:numId w:val="3"/>
      </w:numPr>
    </w:pPr>
  </w:style>
  <w:style w:type="paragraph" w:styleId="ListBullet5">
    <w:name w:val="List Bullet 5"/>
    <w:basedOn w:val="List5"/>
    <w:rsid w:val="00FB7DBC"/>
    <w:pPr>
      <w:numPr>
        <w:numId w:val="4"/>
      </w:numPr>
    </w:pPr>
  </w:style>
  <w:style w:type="paragraph" w:styleId="ListContinue2">
    <w:name w:val="List Continue 2"/>
    <w:basedOn w:val="List2"/>
    <w:rsid w:val="00FB7DBC"/>
    <w:pPr>
      <w:ind w:firstLine="0"/>
    </w:pPr>
  </w:style>
  <w:style w:type="paragraph" w:styleId="ListContinue3">
    <w:name w:val="List Continue 3"/>
    <w:basedOn w:val="List3"/>
    <w:rsid w:val="00FB7DBC"/>
    <w:pPr>
      <w:ind w:left="1021" w:firstLine="0"/>
    </w:pPr>
  </w:style>
  <w:style w:type="paragraph" w:styleId="ListContinue4">
    <w:name w:val="List Continue 4"/>
    <w:basedOn w:val="List4"/>
    <w:rsid w:val="00FB7DBC"/>
    <w:pPr>
      <w:ind w:firstLine="0"/>
    </w:pPr>
  </w:style>
  <w:style w:type="paragraph" w:styleId="ListContinue5">
    <w:name w:val="List Continue 5"/>
    <w:basedOn w:val="List5"/>
    <w:rsid w:val="00FB7DBC"/>
    <w:pPr>
      <w:ind w:firstLine="0"/>
    </w:pPr>
  </w:style>
  <w:style w:type="paragraph" w:styleId="ListNumber3">
    <w:name w:val="List Number 3"/>
    <w:basedOn w:val="List3"/>
    <w:rsid w:val="00FB7DBC"/>
    <w:pPr>
      <w:numPr>
        <w:numId w:val="5"/>
      </w:numPr>
    </w:pPr>
  </w:style>
  <w:style w:type="paragraph" w:styleId="ListNumber4">
    <w:name w:val="List Number 4"/>
    <w:basedOn w:val="List4"/>
    <w:rsid w:val="00FB7DBC"/>
    <w:pPr>
      <w:numPr>
        <w:numId w:val="6"/>
      </w:numPr>
    </w:pPr>
  </w:style>
  <w:style w:type="paragraph" w:styleId="ListNumber5">
    <w:name w:val="List Number 5"/>
    <w:basedOn w:val="List5"/>
    <w:rsid w:val="00FB7DBC"/>
    <w:pPr>
      <w:numPr>
        <w:numId w:val="7"/>
      </w:numPr>
    </w:pPr>
  </w:style>
  <w:style w:type="paragraph" w:styleId="BlockText">
    <w:name w:val="Block Text"/>
    <w:basedOn w:val="Normal"/>
    <w:rsid w:val="00FB7DBC"/>
    <w:pPr>
      <w:spacing w:after="120"/>
      <w:ind w:left="1440" w:right="1440"/>
    </w:pPr>
  </w:style>
  <w:style w:type="character" w:customStyle="1" w:styleId="Subscript">
    <w:name w:val="Subscript"/>
    <w:basedOn w:val="DefaultParagraphFont"/>
    <w:rsid w:val="00FB7DBC"/>
    <w:rPr>
      <w:sz w:val="16"/>
      <w:vertAlign w:val="subscript"/>
    </w:rPr>
  </w:style>
  <w:style w:type="character" w:customStyle="1" w:styleId="Superscript">
    <w:name w:val="Superscript"/>
    <w:basedOn w:val="DefaultParagraphFont"/>
    <w:rsid w:val="00FB7DBC"/>
    <w:rPr>
      <w:sz w:val="16"/>
      <w:vertAlign w:val="superscript"/>
    </w:rPr>
  </w:style>
  <w:style w:type="character" w:customStyle="1" w:styleId="Symbols">
    <w:name w:val="Symbols"/>
    <w:basedOn w:val="DefaultParagraphFont"/>
    <w:rsid w:val="00FB7DBC"/>
    <w:rPr>
      <w:rFonts w:ascii="Symbol" w:hAnsi="Symbol"/>
    </w:rPr>
  </w:style>
  <w:style w:type="character" w:customStyle="1" w:styleId="MenuOptions">
    <w:name w:val="Menu Options"/>
    <w:basedOn w:val="DefaultParagraphFont"/>
    <w:rsid w:val="00FB7DBC"/>
    <w:rPr>
      <w:rFonts w:ascii="Arial Narrow" w:hAnsi="Arial Narrow"/>
      <w:smallCaps/>
    </w:rPr>
  </w:style>
  <w:style w:type="character" w:customStyle="1" w:styleId="Buttons">
    <w:name w:val="Buttons"/>
    <w:basedOn w:val="DefaultParagraphFont"/>
    <w:rsid w:val="00FB7DBC"/>
    <w:rPr>
      <w:b/>
    </w:rPr>
  </w:style>
  <w:style w:type="character" w:customStyle="1" w:styleId="Underlined">
    <w:name w:val="Underlined"/>
    <w:basedOn w:val="DefaultParagraphFont"/>
    <w:rsid w:val="00FB7DBC"/>
    <w:rPr>
      <w:u w:val="single"/>
    </w:rPr>
  </w:style>
  <w:style w:type="paragraph" w:customStyle="1" w:styleId="TableBodyTextRight">
    <w:name w:val="Table Body Text Right"/>
    <w:basedOn w:val="TableBodyText"/>
    <w:rsid w:val="00FB7DBC"/>
    <w:pPr>
      <w:widowControl w:val="0"/>
      <w:autoSpaceDE w:val="0"/>
      <w:autoSpaceDN w:val="0"/>
      <w:adjustRightInd w:val="0"/>
      <w:jc w:val="right"/>
    </w:pPr>
    <w:rPr>
      <w:rFonts w:cs="Arial"/>
      <w:szCs w:val="18"/>
    </w:rPr>
  </w:style>
  <w:style w:type="paragraph" w:customStyle="1" w:styleId="CopyrightText">
    <w:name w:val="Copyright Text"/>
    <w:basedOn w:val="BodyText"/>
    <w:rsid w:val="00FB7DBC"/>
    <w:rPr>
      <w:sz w:val="18"/>
    </w:rPr>
  </w:style>
  <w:style w:type="paragraph" w:customStyle="1" w:styleId="BodySmallRight">
    <w:name w:val="Body Small Right"/>
    <w:basedOn w:val="BodyTextRight"/>
    <w:rsid w:val="00FB7DBC"/>
    <w:rPr>
      <w:sz w:val="18"/>
      <w:szCs w:val="18"/>
    </w:rPr>
  </w:style>
  <w:style w:type="paragraph" w:customStyle="1" w:styleId="MarginEdition">
    <w:name w:val="Margin Edition"/>
    <w:basedOn w:val="MarginNote"/>
    <w:rsid w:val="00FB7DBC"/>
    <w:pPr>
      <w:spacing w:before="0" w:after="0"/>
    </w:pPr>
    <w:rPr>
      <w:rFonts w:ascii="Times New Roman" w:hAnsi="Times New Roman"/>
      <w:color w:val="999999"/>
    </w:rPr>
  </w:style>
  <w:style w:type="paragraph" w:customStyle="1" w:styleId="Spacer">
    <w:name w:val="Spacer"/>
    <w:basedOn w:val="Normal"/>
    <w:rsid w:val="00FB7DBC"/>
    <w:rPr>
      <w:sz w:val="2"/>
      <w:szCs w:val="2"/>
    </w:rPr>
  </w:style>
  <w:style w:type="character" w:customStyle="1" w:styleId="Small">
    <w:name w:val="Small"/>
    <w:basedOn w:val="DefaultParagraphFont"/>
    <w:rsid w:val="00FB7DBC"/>
    <w:rPr>
      <w:sz w:val="16"/>
    </w:rPr>
  </w:style>
  <w:style w:type="paragraph" w:customStyle="1" w:styleId="WideTable">
    <w:name w:val="Wide Table"/>
    <w:basedOn w:val="Normal"/>
    <w:rsid w:val="00FB7DBC"/>
    <w:pPr>
      <w:ind w:left="-1418"/>
    </w:pPr>
    <w:rPr>
      <w:sz w:val="2"/>
      <w:szCs w:val="2"/>
    </w:rPr>
  </w:style>
  <w:style w:type="character" w:styleId="PageNumber">
    <w:name w:val="page number"/>
    <w:basedOn w:val="DefaultParagraphFont"/>
    <w:rsid w:val="00FB7DBC"/>
  </w:style>
  <w:style w:type="paragraph" w:styleId="Quote">
    <w:name w:val="Quote"/>
    <w:basedOn w:val="Heading1"/>
    <w:link w:val="QuoteChar"/>
    <w:qFormat/>
    <w:rsid w:val="00FB7DBC"/>
    <w:rPr>
      <w:b w:val="0"/>
      <w:sz w:val="72"/>
      <w:szCs w:val="72"/>
      <w:lang w:val="en-NZ"/>
    </w:rPr>
  </w:style>
  <w:style w:type="character" w:customStyle="1" w:styleId="QuoteChar">
    <w:name w:val="Quote Char"/>
    <w:basedOn w:val="DefaultParagraphFont"/>
    <w:link w:val="Quote"/>
    <w:rsid w:val="00FB7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DBC"/>
    <w:pPr>
      <w:pageBreakBefore/>
    </w:pPr>
  </w:style>
  <w:style w:type="paragraph" w:customStyle="1" w:styleId="Border">
    <w:name w:val="Border"/>
    <w:basedOn w:val="Normal"/>
    <w:qFormat/>
    <w:rsid w:val="00FB7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DBC"/>
    <w:rPr>
      <w:b/>
      <w:bCs/>
      <w:i/>
      <w:iCs/>
      <w:color w:val="auto"/>
    </w:rPr>
  </w:style>
  <w:style w:type="paragraph" w:styleId="IntenseQuote">
    <w:name w:val="Intense Quote"/>
    <w:basedOn w:val="Normal"/>
    <w:next w:val="Normal"/>
    <w:link w:val="IntenseQuoteChar"/>
    <w:uiPriority w:val="30"/>
    <w:qFormat/>
    <w:rsid w:val="00FB7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DBC"/>
    <w:rPr>
      <w:smallCaps/>
      <w:color w:val="auto"/>
      <w:u w:val="single"/>
    </w:rPr>
  </w:style>
  <w:style w:type="character" w:styleId="IntenseReference">
    <w:name w:val="Intense Reference"/>
    <w:basedOn w:val="DefaultParagraphFont"/>
    <w:uiPriority w:val="32"/>
    <w:qFormat/>
    <w:rsid w:val="00FB7DBC"/>
    <w:rPr>
      <w:b/>
      <w:bCs/>
      <w:smallCaps/>
      <w:color w:val="auto"/>
      <w:spacing w:val="5"/>
      <w:u w:val="single"/>
    </w:rPr>
  </w:style>
  <w:style w:type="paragraph" w:customStyle="1" w:styleId="2ColumnHeading">
    <w:name w:val="2Column Heading"/>
    <w:basedOn w:val="BodyText"/>
    <w:qFormat/>
    <w:rsid w:val="00FB7DBC"/>
    <w:pPr>
      <w:spacing w:after="60"/>
      <w:ind w:left="-2268"/>
    </w:pPr>
    <w:rPr>
      <w:b/>
    </w:rPr>
  </w:style>
  <w:style w:type="paragraph" w:customStyle="1" w:styleId="Heading1TOC">
    <w:name w:val="Heading1 TOC"/>
    <w:basedOn w:val="Normal"/>
    <w:qFormat/>
    <w:rsid w:val="00FB7DBC"/>
    <w:pPr>
      <w:spacing w:before="240" w:after="120"/>
    </w:pPr>
    <w:rPr>
      <w:rFonts w:ascii="Times New Roman" w:hAnsi="Times New Roman"/>
      <w:b/>
      <w:sz w:val="32"/>
    </w:rPr>
  </w:style>
  <w:style w:type="paragraph" w:customStyle="1" w:styleId="Heading2TOC">
    <w:name w:val="Heading2 TOC"/>
    <w:basedOn w:val="Normal"/>
    <w:qFormat/>
    <w:rsid w:val="00FB7DBC"/>
    <w:pPr>
      <w:spacing w:before="240" w:after="60"/>
    </w:pPr>
    <w:rPr>
      <w:rFonts w:ascii="Times New Roman" w:hAnsi="Times New Roman"/>
      <w:b/>
      <w:sz w:val="28"/>
    </w:rPr>
  </w:style>
  <w:style w:type="character" w:customStyle="1" w:styleId="Underline">
    <w:name w:val="Underline"/>
    <w:basedOn w:val="DefaultParagraphFont"/>
    <w:qFormat/>
    <w:rsid w:val="00FB7DBC"/>
    <w:rPr>
      <w:u w:val="single"/>
    </w:rPr>
  </w:style>
  <w:style w:type="character" w:customStyle="1" w:styleId="BoldandItalics">
    <w:name w:val="Bold and Italics"/>
    <w:qFormat/>
    <w:rsid w:val="00FB7DBC"/>
    <w:rPr>
      <w:b/>
      <w:i/>
      <w:u w:val="none"/>
    </w:rPr>
  </w:style>
  <w:style w:type="paragraph" w:styleId="BalloonText">
    <w:name w:val="Balloon Text"/>
    <w:basedOn w:val="Normal"/>
    <w:link w:val="BalloonTextChar"/>
    <w:rsid w:val="00FB7DBC"/>
    <w:rPr>
      <w:rFonts w:ascii="Tahoma" w:hAnsi="Tahoma" w:cs="Tahoma"/>
      <w:sz w:val="16"/>
      <w:szCs w:val="16"/>
    </w:rPr>
  </w:style>
  <w:style w:type="character" w:customStyle="1" w:styleId="BalloonTextChar">
    <w:name w:val="Balloon Text Char"/>
    <w:basedOn w:val="DefaultParagraphFont"/>
    <w:link w:val="BalloonText"/>
    <w:rsid w:val="00FB7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DBC"/>
    <w:rPr>
      <w:b/>
      <w:color w:val="660033"/>
      <w:spacing w:val="0"/>
    </w:rPr>
  </w:style>
  <w:style w:type="paragraph" w:customStyle="1" w:styleId="Nameditemlist">
    <w:name w:val="Named item list"/>
    <w:basedOn w:val="BodyText"/>
    <w:qFormat/>
    <w:rsid w:val="00FB7D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1709</Words>
  <Characters>10786</Characters>
  <Application>Microsoft Office Word</Application>
  <DocSecurity>0</DocSecurity>
  <Lines>353</Lines>
  <Paragraphs>160</Paragraphs>
  <ScaleCrop>false</ScaleCrop>
  <Company>Author-it Software Corporation Ltd.</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MSL933004A Perform calibration checks on equipment and assist with its maintenance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2012-10-10T07:33:00Z</dcterms:created>
  <dcterms:modified xsi:type="dcterms:W3CDTF">2012-10-10T07:34:00Z</dcterms:modified>
</cp:coreProperties>
</file>