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01C" w:rsidP="0095601C">
      <w:pPr>
        <w:pStyle w:val="Title"/>
      </w:pPr>
      <w:r>
        <w:fldChar w:fldCharType="begin"/>
      </w:r>
      <w:r>
        <w:instrText xml:space="preserve"> TITLE   \* MERGEFORMAT </w:instrText>
      </w:r>
      <w:r>
        <w:fldChar w:fldCharType="separate"/>
      </w:r>
      <w:r>
        <w:t>MSL933003A Apply critical control point requirements</w:t>
      </w:r>
      <w:r>
        <w:fldChar w:fldCharType="end"/>
      </w:r>
    </w:p>
    <w:p w:rsidR="0095601C" w:rsidP="0095601C">
      <w:pPr>
        <w:pStyle w:val="Version"/>
        <w:sectPr w:rsidSect="00B87A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7A89" w:rsidP="00B87A89">
      <w:pPr>
        <w:pStyle w:val="SuperHeading"/>
      </w:pPr>
      <w:r w:rsidRPr="00B87A89">
        <w:t>MSL933003A Apply critical control point requirements</w:t>
      </w:r>
    </w:p>
    <w:p w:rsidR="00000000" w:rsidRPr="00B87A89" w:rsidP="00B87A89">
      <w:pPr>
        <w:pStyle w:val="SuperHeading"/>
      </w:pPr>
    </w:p>
    <w:p w:rsidR="00000000" w:rsidRPr="00B87A89" w:rsidP="00B87A89">
      <w:pPr>
        <w:pStyle w:val="Heading1"/>
      </w:pPr>
      <w:bookmarkStart w:id="1" w:name="O_102843"/>
      <w:bookmarkEnd w:id="1"/>
      <w:r w:rsidRPr="00B87A89">
        <w:t>Modification History</w:t>
      </w:r>
    </w:p>
    <w:p w:rsidR="00000000" w:rsidRPr="00B87A89" w:rsidP="00B87A89">
      <w:pPr>
        <w:pStyle w:val="BodyText"/>
      </w:pPr>
      <w:r w:rsidRPr="00B87A89">
        <w:t>Not applicable.</w:t>
      </w:r>
    </w:p>
    <w:p w:rsidR="00000000" w:rsidRPr="00B87A89" w:rsidP="00B87A89">
      <w:pPr>
        <w:pStyle w:val="AllowPageBreak"/>
      </w:pPr>
    </w:p>
    <w:p w:rsidR="00000000" w:rsidRPr="00B87A89" w:rsidP="00B87A89">
      <w:pPr>
        <w:pStyle w:val="Heading1"/>
      </w:pPr>
      <w:bookmarkStart w:id="2" w:name="O_102844"/>
      <w:bookmarkEnd w:id="2"/>
      <w:r w:rsidRPr="00B87A89">
        <w:t>Unit Descriptor</w:t>
      </w:r>
    </w:p>
    <w:tbl>
      <w:tblPr>
        <w:tblW w:w="0" w:type="auto"/>
        <w:tblLayout w:type="fixed"/>
        <w:tblCellMar>
          <w:left w:w="62" w:type="dxa"/>
          <w:right w:w="62" w:type="dxa"/>
        </w:tblCellMar>
        <w:tblLook w:val="0000"/>
      </w:tblPr>
      <w:tblGrid>
        <w:gridCol w:w="2664"/>
        <w:gridCol w:w="5858"/>
      </w:tblGrid>
      <w:tr w:rsidTr="0095601C">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This unit of competency covers the ability to monitor critical, quality and regula</w:t>
            </w:r>
            <w:r w:rsidRPr="00B87A89">
              <w:t>tory control points related to a person's work responsibilities. This unit of competency also covers support for ongoing improvement of the enterprise hazard analysis and critical control points (HACCP) plan.</w:t>
            </w:r>
          </w:p>
        </w:tc>
      </w:tr>
    </w:tbl>
    <w:p w:rsidR="00000000" w:rsidRPr="00B87A89" w:rsidP="00B87A89">
      <w:pPr>
        <w:pStyle w:val="BodyText"/>
      </w:pPr>
    </w:p>
    <w:p w:rsidR="00000000" w:rsidRPr="00B87A89" w:rsidP="00B87A89">
      <w:pPr>
        <w:pStyle w:val="AllowPageBreak"/>
      </w:pPr>
    </w:p>
    <w:p w:rsidR="00000000" w:rsidRPr="00B87A89" w:rsidP="00B87A89">
      <w:pPr>
        <w:pStyle w:val="Heading1"/>
      </w:pPr>
      <w:bookmarkStart w:id="3" w:name="O_102845"/>
      <w:bookmarkEnd w:id="3"/>
      <w:r w:rsidRPr="00B87A89">
        <w:t>Application of the Unit</w:t>
      </w:r>
    </w:p>
    <w:tbl>
      <w:tblPr>
        <w:tblW w:w="0" w:type="auto"/>
        <w:tblLayout w:type="fixed"/>
        <w:tblCellMar>
          <w:left w:w="62" w:type="dxa"/>
          <w:right w:w="62" w:type="dxa"/>
        </w:tblCellMar>
        <w:tblLook w:val="0000"/>
      </w:tblPr>
      <w:tblGrid>
        <w:gridCol w:w="2752"/>
        <w:gridCol w:w="5770"/>
      </w:tblGrid>
      <w:tr w:rsidTr="0095601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This unit of competency is applicable to production operators and laboratory assistants in the food processing and manufacturing sectors. Control points refer to those key points in a work process that must be monitored and controll</w:t>
            </w:r>
            <w:r w:rsidRPr="00B87A89">
              <w:t>ed.</w:t>
            </w:r>
          </w:p>
          <w:p w:rsidR="00000000" w:rsidRPr="00B87A89" w:rsidP="00B87A89">
            <w:pPr>
              <w:pStyle w:val="BodyText"/>
            </w:pPr>
            <w:r w:rsidRPr="00B87A89">
              <w:t>Industry representatives have provided case studies to illustrate the practical application of this unit of competency and to show its relevance in a workplace setting. These are found at the end of this unit of competency under the section 'This compe</w:t>
            </w:r>
            <w:r w:rsidRPr="00B87A89">
              <w:t>tency in practice'.</w:t>
            </w:r>
          </w:p>
        </w:tc>
      </w:tr>
    </w:tbl>
    <w:p w:rsidR="00000000" w:rsidRPr="00B87A89" w:rsidP="00B87A89">
      <w:pPr>
        <w:pStyle w:val="BodyText"/>
      </w:pPr>
    </w:p>
    <w:p w:rsidR="00000000" w:rsidRPr="00B87A89" w:rsidP="00B87A89">
      <w:pPr>
        <w:pStyle w:val="AllowPageBreak"/>
      </w:pPr>
    </w:p>
    <w:p w:rsidR="00000000" w:rsidRPr="00B87A89" w:rsidP="00B87A89">
      <w:pPr>
        <w:pStyle w:val="Heading1"/>
      </w:pPr>
      <w:bookmarkStart w:id="4" w:name="O_102846"/>
      <w:bookmarkEnd w:id="4"/>
      <w:r w:rsidRPr="00B87A89">
        <w:t>Licensing/Regulatory Information</w:t>
      </w:r>
    </w:p>
    <w:p w:rsidR="00000000" w:rsidRPr="00B87A89" w:rsidP="00B87A89">
      <w:pPr>
        <w:pStyle w:val="BodyText"/>
      </w:pPr>
      <w:r w:rsidRPr="00B87A89">
        <w:t>Not applicable.</w:t>
      </w:r>
    </w:p>
    <w:p w:rsidR="00000000" w:rsidRPr="00B87A89" w:rsidP="00B87A89">
      <w:pPr>
        <w:pStyle w:val="AllowPageBreak"/>
      </w:pPr>
    </w:p>
    <w:p w:rsidR="00000000" w:rsidRPr="00B87A89" w:rsidP="00B87A89">
      <w:pPr>
        <w:pStyle w:val="Heading1"/>
      </w:pPr>
      <w:bookmarkStart w:id="5" w:name="O_102847"/>
      <w:bookmarkEnd w:id="5"/>
      <w:r w:rsidRPr="00B87A89">
        <w:t>Pre-Requisites</w:t>
      </w:r>
    </w:p>
    <w:tbl>
      <w:tblPr>
        <w:tblW w:w="0" w:type="auto"/>
        <w:tblLayout w:type="fixed"/>
        <w:tblCellMar>
          <w:left w:w="62" w:type="dxa"/>
          <w:right w:w="62" w:type="dxa"/>
        </w:tblCellMar>
        <w:tblLook w:val="0000"/>
      </w:tblPr>
      <w:tblGrid>
        <w:gridCol w:w="2775"/>
        <w:gridCol w:w="1295"/>
        <w:gridCol w:w="4452"/>
      </w:tblGrid>
      <w:tr w:rsidTr="009560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p>
        </w:tc>
      </w:tr>
      <w:tr w:rsidTr="009560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p>
        </w:tc>
      </w:tr>
      <w:tr w:rsidTr="009560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p>
        </w:tc>
      </w:tr>
    </w:tbl>
    <w:p w:rsidR="00000000" w:rsidRPr="00B87A89" w:rsidP="00B87A89">
      <w:pPr>
        <w:pStyle w:val="BodyText"/>
      </w:pPr>
    </w:p>
    <w:p w:rsidR="00000000" w:rsidRPr="00B87A89" w:rsidP="00B87A89">
      <w:pPr>
        <w:pStyle w:val="AllowPageBreak"/>
      </w:pPr>
    </w:p>
    <w:p w:rsidR="00000000" w:rsidRPr="00B87A89" w:rsidP="00B87A89">
      <w:pPr>
        <w:pStyle w:val="Heading1"/>
      </w:pPr>
      <w:bookmarkStart w:id="6" w:name="O_102848"/>
      <w:bookmarkEnd w:id="6"/>
      <w:r w:rsidRPr="00B87A89">
        <w:t>Employability Skills Information</w:t>
      </w:r>
    </w:p>
    <w:tbl>
      <w:tblPr>
        <w:tblW w:w="0" w:type="auto"/>
        <w:tblLayout w:type="fixed"/>
        <w:tblCellMar>
          <w:left w:w="62" w:type="dxa"/>
          <w:right w:w="62" w:type="dxa"/>
        </w:tblCellMar>
        <w:tblLook w:val="0000"/>
      </w:tblPr>
      <w:tblGrid>
        <w:gridCol w:w="2802"/>
        <w:gridCol w:w="5720"/>
      </w:tblGrid>
      <w:tr w:rsidTr="009560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This unit contains employability skills.</w:t>
            </w:r>
          </w:p>
        </w:tc>
      </w:tr>
    </w:tbl>
    <w:p w:rsidR="00000000" w:rsidRPr="00B87A89" w:rsidP="00B87A89">
      <w:pPr>
        <w:pStyle w:val="BodyText"/>
      </w:pPr>
    </w:p>
    <w:p w:rsidR="00000000" w:rsidRPr="00B87A89" w:rsidP="00B87A89">
      <w:pPr>
        <w:pStyle w:val="AllowPageBreak"/>
      </w:pPr>
    </w:p>
    <w:p w:rsidR="00000000" w:rsidRPr="00B87A89" w:rsidP="00B87A89">
      <w:pPr>
        <w:pStyle w:val="Heading1"/>
      </w:pPr>
      <w:bookmarkStart w:id="7" w:name="O_102849"/>
      <w:bookmarkEnd w:id="7"/>
      <w:r w:rsidRPr="00B87A89">
        <w:t>Elements and Performance Criteria Pre-Content</w:t>
      </w:r>
    </w:p>
    <w:tbl>
      <w:tblPr>
        <w:tblW w:w="0" w:type="auto"/>
        <w:tblLayout w:type="fixed"/>
        <w:tblCellMar>
          <w:left w:w="62" w:type="dxa"/>
          <w:right w:w="62" w:type="dxa"/>
        </w:tblCellMar>
        <w:tblLook w:val="0000"/>
      </w:tblPr>
      <w:tblGrid>
        <w:gridCol w:w="2579"/>
        <w:gridCol w:w="5943"/>
      </w:tblGrid>
      <w:tr w:rsidTr="0095601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Performance criteria describe the performance needed to demonstrate achievement of t</w:t>
            </w:r>
            <w:r w:rsidRPr="00B87A89">
              <w:t>he element. Where bold italicised text is used, further information is detailed in the required skills and knowledge section and the range statement. Assessment of performance is to be consistent with the evidence guide.</w:t>
            </w:r>
          </w:p>
        </w:tc>
      </w:tr>
    </w:tbl>
    <w:p w:rsidR="00000000" w:rsidRPr="00B87A89" w:rsidP="00B87A89">
      <w:pPr>
        <w:pStyle w:val="BodyText"/>
      </w:pPr>
    </w:p>
    <w:p w:rsidR="00000000" w:rsidRPr="00B87A89" w:rsidP="00B87A89">
      <w:pPr>
        <w:pStyle w:val="AllowPageBreak"/>
      </w:pPr>
    </w:p>
    <w:p w:rsidR="00000000" w:rsidRPr="00B87A89" w:rsidP="00B87A89">
      <w:pPr>
        <w:pStyle w:val="Heading1"/>
      </w:pPr>
      <w:bookmarkStart w:id="8" w:name="O_102850"/>
      <w:bookmarkEnd w:id="8"/>
      <w:r w:rsidRPr="00B87A89">
        <w:t>Elements and Per</w:t>
      </w:r>
      <w:r w:rsidRPr="00B87A89">
        <w:t>formance Criteria</w:t>
      </w:r>
    </w:p>
    <w:tbl>
      <w:tblPr>
        <w:tblW w:w="0" w:type="auto"/>
        <w:tblLayout w:type="fixed"/>
        <w:tblCellMar>
          <w:left w:w="62" w:type="dxa"/>
          <w:right w:w="62" w:type="dxa"/>
        </w:tblCellMar>
        <w:tblLook w:val="0000"/>
      </w:tblPr>
      <w:tblGrid>
        <w:gridCol w:w="2579"/>
        <w:gridCol w:w="5943"/>
      </w:tblGrid>
      <w:tr w:rsidTr="0095601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PERFORMANCE CRITERIA</w:t>
            </w:r>
          </w:p>
        </w:tc>
      </w:tr>
      <w:tr w:rsidTr="0095601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List"/>
              <w:rPr>
                <w:lang w:val="en-NZ"/>
              </w:rPr>
            </w:pPr>
            <w:r w:rsidRPr="00B87A89">
              <w:t>1.</w:t>
            </w:r>
            <w:r w:rsidRPr="00B87A89">
              <w:tab/>
              <w:t>Provide routine input to the HACCP plan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List2"/>
            </w:pPr>
            <w:r w:rsidRPr="00B87A89">
              <w:t>1.1.</w:t>
            </w:r>
            <w:r w:rsidRPr="00B87A89">
              <w:tab/>
              <w:t>Obtain information about control points in the manufacturing process</w:t>
            </w:r>
          </w:p>
          <w:p w:rsidR="00000000" w:rsidRPr="00B87A89" w:rsidP="00B87A89">
            <w:pPr>
              <w:pStyle w:val="List2"/>
            </w:pPr>
            <w:r w:rsidRPr="00B87A89">
              <w:t>1.2.</w:t>
            </w:r>
            <w:r w:rsidRPr="00B87A89">
              <w:tab/>
              <w:t>Locate control points for own work area responsibilities</w:t>
            </w:r>
          </w:p>
          <w:p w:rsidR="00000000" w:rsidRPr="00B87A89" w:rsidP="00B87A89">
            <w:pPr>
              <w:pStyle w:val="List2"/>
            </w:pPr>
            <w:r w:rsidRPr="00B87A89">
              <w:t>1.3.</w:t>
            </w:r>
            <w:r w:rsidRPr="00B87A89">
              <w:tab/>
            </w:r>
            <w:r w:rsidRPr="00B87A89">
              <w:t>Perform relevant checks and inspections on materials and equipment to establish conformance to meet food safety requirements</w:t>
            </w:r>
          </w:p>
          <w:p w:rsidR="00000000" w:rsidRPr="00B87A89" w:rsidP="00B87A89">
            <w:pPr>
              <w:pStyle w:val="List2"/>
            </w:pPr>
            <w:r w:rsidRPr="00B87A89">
              <w:t>1.4.</w:t>
            </w:r>
            <w:r w:rsidRPr="00B87A89">
              <w:tab/>
              <w:t>Identify variations or common faults</w:t>
            </w:r>
          </w:p>
          <w:p w:rsidR="00000000" w:rsidP="00B87A89">
            <w:pPr>
              <w:pStyle w:val="List2"/>
              <w:rPr>
                <w:lang w:val="en-NZ"/>
              </w:rPr>
            </w:pPr>
            <w:r w:rsidRPr="00B87A89">
              <w:t>1.5.</w:t>
            </w:r>
            <w:r w:rsidRPr="00B87A89">
              <w:tab/>
              <w:t>Record inspection results and report to appropriate personnel</w:t>
            </w:r>
          </w:p>
        </w:tc>
      </w:tr>
      <w:tr w:rsidTr="0095601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List"/>
              <w:rPr>
                <w:lang w:val="en-NZ"/>
              </w:rPr>
            </w:pPr>
            <w:r w:rsidRPr="00B87A89">
              <w:t>2.</w:t>
            </w:r>
            <w:r w:rsidRPr="00B87A89">
              <w:tab/>
              <w:t xml:space="preserve">Contribute to the </w:t>
            </w:r>
            <w:r w:rsidRPr="00B87A89">
              <w:t>continuous improvement of the HACCP plan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List2"/>
            </w:pPr>
            <w:r w:rsidRPr="00B87A89">
              <w:t>2.1.</w:t>
            </w:r>
            <w:r w:rsidRPr="00B87A89">
              <w:tab/>
              <w:t>Recognise non-conformance to the HACCP plan</w:t>
            </w:r>
          </w:p>
          <w:p w:rsidR="00000000" w:rsidRPr="00B87A89" w:rsidP="00B87A89">
            <w:pPr>
              <w:pStyle w:val="List2"/>
            </w:pPr>
            <w:r w:rsidRPr="00B87A89">
              <w:t>2.2.</w:t>
            </w:r>
            <w:r w:rsidRPr="00B87A89">
              <w:tab/>
              <w:t>Identify likely causes for non-conformance</w:t>
            </w:r>
          </w:p>
          <w:p w:rsidR="00000000" w:rsidRPr="00B87A89" w:rsidP="00B87A89">
            <w:pPr>
              <w:pStyle w:val="List2"/>
            </w:pPr>
            <w:r w:rsidRPr="00B87A89">
              <w:t>2.3.</w:t>
            </w:r>
            <w:r w:rsidRPr="00B87A89">
              <w:tab/>
              <w:t>Record and report non-conformances to appropriate personnel</w:t>
            </w:r>
          </w:p>
        </w:tc>
      </w:tr>
    </w:tbl>
    <w:p w:rsidR="00000000" w:rsidRPr="00B87A89" w:rsidP="00B87A89">
      <w:pPr>
        <w:pStyle w:val="BodyText"/>
      </w:pPr>
    </w:p>
    <w:p w:rsidR="00000000" w:rsidRPr="00B87A89" w:rsidP="00B87A89">
      <w:pPr>
        <w:pStyle w:val="AllowPageBreak"/>
      </w:pPr>
    </w:p>
    <w:p w:rsidR="00000000" w:rsidRPr="00B87A89" w:rsidP="00B87A89">
      <w:pPr>
        <w:pStyle w:val="Heading1"/>
      </w:pPr>
      <w:bookmarkStart w:id="9" w:name="O_102851"/>
      <w:bookmarkEnd w:id="9"/>
      <w:r w:rsidRPr="00B87A89">
        <w:t>Required Skills and Knowledge</w:t>
      </w:r>
    </w:p>
    <w:tbl>
      <w:tblPr>
        <w:tblW w:w="0" w:type="auto"/>
        <w:tblLayout w:type="fixed"/>
        <w:tblCellMar>
          <w:left w:w="62" w:type="dxa"/>
          <w:right w:w="62" w:type="dxa"/>
        </w:tblCellMar>
        <w:tblLook w:val="0000"/>
      </w:tblPr>
      <w:tblGrid>
        <w:gridCol w:w="8522"/>
      </w:tblGrid>
      <w:tr w:rsidTr="009560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Required skills</w:t>
            </w:r>
          </w:p>
        </w:tc>
      </w:tr>
      <w:tr w:rsidTr="009560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Required skills include:</w:t>
            </w:r>
          </w:p>
          <w:p w:rsidR="00000000" w:rsidRPr="00B87A89" w:rsidP="00B87A89">
            <w:pPr>
              <w:pStyle w:val="ListBullet"/>
            </w:pPr>
            <w:r w:rsidRPr="00B87A89">
              <w:t xml:space="preserve">monitoring of the critical, quality and regulatory control points </w:t>
            </w:r>
          </w:p>
          <w:p w:rsidR="00000000" w:rsidRPr="00B87A89" w:rsidP="00B87A89">
            <w:pPr>
              <w:pStyle w:val="ListBullet"/>
            </w:pPr>
            <w:r w:rsidRPr="00B87A89">
              <w:t>preventing contamination from occurring or recurring</w:t>
            </w:r>
          </w:p>
          <w:p w:rsidR="00000000" w:rsidRPr="00B87A89" w:rsidP="00B87A89">
            <w:pPr>
              <w:pStyle w:val="ListBullet"/>
            </w:pPr>
            <w:r w:rsidRPr="00B87A89">
              <w:t>recording of information using the enterprise reporting system</w:t>
            </w:r>
          </w:p>
          <w:p w:rsidR="00000000" w:rsidRPr="00B87A89" w:rsidP="00B87A89">
            <w:pPr>
              <w:pStyle w:val="ListBullet"/>
            </w:pPr>
            <w:r w:rsidRPr="00B87A89">
              <w:t xml:space="preserve">collecting and analysing data </w:t>
            </w:r>
            <w:r w:rsidRPr="00B87A89">
              <w:t>to identify variation from limits</w:t>
            </w:r>
          </w:p>
          <w:p w:rsidR="00000000" w:rsidRPr="00B87A89" w:rsidP="00B87A89">
            <w:pPr>
              <w:pStyle w:val="ListBullet"/>
            </w:pPr>
            <w:r w:rsidRPr="00B87A89">
              <w:t>making approved corrective actions as required</w:t>
            </w:r>
          </w:p>
          <w:p w:rsidR="00000000" w:rsidP="00B87A89">
            <w:pPr>
              <w:pStyle w:val="ListBullet"/>
              <w:rPr>
                <w:lang w:val="en-NZ"/>
              </w:rPr>
            </w:pPr>
            <w:r w:rsidRPr="00B87A89">
              <w:t>supporting continuous improvement through observation and communication</w:t>
            </w:r>
          </w:p>
        </w:tc>
      </w:tr>
      <w:tr w:rsidTr="009560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Required knowledge</w:t>
            </w:r>
          </w:p>
        </w:tc>
      </w:tr>
      <w:tr w:rsidTr="009560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Required knowledge includes:</w:t>
            </w:r>
          </w:p>
          <w:p w:rsidR="00000000" w:rsidRPr="00B87A89" w:rsidP="00B87A89">
            <w:pPr>
              <w:pStyle w:val="ListBullet"/>
            </w:pPr>
            <w:r w:rsidRPr="00B87A89">
              <w:t>the seven principles of HACCP and relationship to food or pharmaceutical safety</w:t>
            </w:r>
          </w:p>
          <w:p w:rsidR="00000000" w:rsidRPr="00B87A89" w:rsidP="00B87A89">
            <w:pPr>
              <w:pStyle w:val="ListBullet"/>
            </w:pPr>
            <w:r w:rsidRPr="00B87A89">
              <w:t>preliminary steps for HACCP</w:t>
            </w:r>
          </w:p>
          <w:p w:rsidR="00000000" w:rsidRPr="00B87A89" w:rsidP="00B87A89">
            <w:pPr>
              <w:pStyle w:val="ListBullet"/>
            </w:pPr>
            <w:r w:rsidRPr="00B87A89">
              <w:t>benefits of HACCP</w:t>
            </w:r>
          </w:p>
          <w:p w:rsidR="00000000" w:rsidRPr="00B87A89" w:rsidP="00B87A89">
            <w:pPr>
              <w:pStyle w:val="ListBullet"/>
            </w:pPr>
            <w:r w:rsidRPr="00B87A89">
              <w:t>the HACCP plan, including:</w:t>
            </w:r>
          </w:p>
          <w:p w:rsidR="00000000" w:rsidRPr="00B87A89" w:rsidP="00B87A89">
            <w:pPr>
              <w:pStyle w:val="ListBullet2"/>
            </w:pPr>
            <w:r w:rsidRPr="00B87A89">
              <w:t>the critical control points and control limits</w:t>
            </w:r>
          </w:p>
          <w:p w:rsidR="00000000" w:rsidRPr="00B87A89" w:rsidP="00B87A89">
            <w:pPr>
              <w:pStyle w:val="ListBullet2"/>
            </w:pPr>
            <w:r w:rsidRPr="00B87A89">
              <w:t>consequences of non-confo</w:t>
            </w:r>
            <w:r w:rsidRPr="00B87A89">
              <w:t>rming products being identified</w:t>
            </w:r>
          </w:p>
          <w:p w:rsidR="00000000" w:rsidRPr="00B87A89" w:rsidP="00B87A89">
            <w:pPr>
              <w:pStyle w:val="ListBullet"/>
            </w:pPr>
            <w:r w:rsidRPr="00B87A89">
              <w:t>continuous improvement practices</w:t>
            </w:r>
          </w:p>
          <w:p w:rsidR="00000000" w:rsidRPr="00B87A89" w:rsidP="00B87A89">
            <w:pPr>
              <w:pStyle w:val="ListBullet"/>
            </w:pPr>
            <w:r w:rsidRPr="00B87A89">
              <w:t>quality policy, procedures and responsibilities</w:t>
            </w:r>
          </w:p>
          <w:p w:rsidR="00000000" w:rsidRPr="00B87A89" w:rsidP="00B87A89">
            <w:pPr>
              <w:pStyle w:val="ListBullet"/>
            </w:pPr>
            <w:r w:rsidRPr="00B87A89">
              <w:t>the methods used to monitor each critical, quality, regulatory control point</w:t>
            </w:r>
          </w:p>
          <w:p w:rsidR="00000000" w:rsidRPr="00B87A89" w:rsidP="00B87A89">
            <w:pPr>
              <w:pStyle w:val="ListBullet"/>
            </w:pPr>
            <w:r w:rsidRPr="00B87A89">
              <w:t>equipment and instrument calibration requirements</w:t>
            </w:r>
          </w:p>
          <w:p w:rsidR="00000000" w:rsidRPr="00B87A89" w:rsidP="00B87A89">
            <w:pPr>
              <w:pStyle w:val="ListBullet"/>
            </w:pPr>
            <w:r w:rsidRPr="00B87A89">
              <w:t>methods for sys</w:t>
            </w:r>
            <w:r w:rsidRPr="00B87A89">
              <w:t>tematically investigating and responding to problems</w:t>
            </w:r>
          </w:p>
          <w:p w:rsidR="00000000" w:rsidRPr="00B87A89" w:rsidP="00B87A89">
            <w:pPr>
              <w:pStyle w:val="ListBullet"/>
            </w:pPr>
            <w:r w:rsidRPr="00B87A89">
              <w:t>control points and their potential impact on work systems</w:t>
            </w:r>
          </w:p>
          <w:p w:rsidR="00000000" w:rsidRPr="00B87A89" w:rsidP="00B87A89">
            <w:pPr>
              <w:pStyle w:val="ListBullet"/>
            </w:pPr>
            <w:r w:rsidRPr="00B87A89">
              <w:t>relevant health, safety and environment requirements</w:t>
            </w:r>
          </w:p>
          <w:p w:rsidR="00000000" w:rsidRPr="00B87A89" w:rsidP="00B87A89">
            <w:pPr>
              <w:pStyle w:val="ListBullet"/>
            </w:pPr>
            <w:r w:rsidRPr="00B87A89">
              <w:t>products and services provided by the enterprise</w:t>
            </w:r>
          </w:p>
          <w:p w:rsidR="00000000" w:rsidRPr="00B87A89" w:rsidP="00B87A89">
            <w:pPr>
              <w:pStyle w:val="ListBullet"/>
            </w:pPr>
            <w:r w:rsidRPr="00B87A89">
              <w:t>layout of the enterprise, divisions, and la</w:t>
            </w:r>
            <w:r w:rsidRPr="00B87A89">
              <w:t>boratory</w:t>
            </w:r>
          </w:p>
          <w:p w:rsidR="00000000" w:rsidRPr="00B87A89" w:rsidP="00B87A89">
            <w:pPr>
              <w:pStyle w:val="ListBullet"/>
            </w:pPr>
            <w:r w:rsidRPr="00B87A89">
              <w:t>organisational structure of the enterprise</w:t>
            </w:r>
          </w:p>
          <w:p w:rsidR="00000000" w:rsidRPr="00B87A89" w:rsidP="00B87A89">
            <w:pPr>
              <w:pStyle w:val="ListBullet"/>
            </w:pPr>
            <w:r w:rsidRPr="00B87A89">
              <w:t>lines of communication</w:t>
            </w:r>
          </w:p>
          <w:p w:rsidR="00000000" w:rsidRPr="00B87A89" w:rsidP="00B87A89">
            <w:pPr>
              <w:pStyle w:val="ListBullet"/>
            </w:pPr>
            <w:r w:rsidRPr="00B87A89">
              <w:t>role of laboratory services to the enterprise and customers</w:t>
            </w:r>
          </w:p>
          <w:p w:rsidR="00000000" w:rsidRPr="00B87A89" w:rsidP="00B87A89">
            <w:pPr>
              <w:pStyle w:val="ListBullet"/>
            </w:pPr>
            <w:r w:rsidRPr="00B87A89">
              <w:t>scheduling of tests and procedures to meet customer requirements</w:t>
            </w:r>
          </w:p>
          <w:p w:rsidR="00000000" w:rsidRPr="00B87A89" w:rsidP="00B87A89">
            <w:pPr>
              <w:pStyle w:val="ListBullet"/>
            </w:pPr>
            <w:r w:rsidRPr="00B87A89">
              <w:t>enterprise procedures associated with the candidate's regular technical duties</w:t>
            </w:r>
          </w:p>
        </w:tc>
      </w:tr>
    </w:tbl>
    <w:p w:rsidR="00000000" w:rsidRPr="00B87A89" w:rsidP="00B87A89">
      <w:pPr>
        <w:pStyle w:val="BodyText"/>
      </w:pPr>
    </w:p>
    <w:p w:rsidR="00000000" w:rsidRPr="00B87A89" w:rsidP="00B87A89">
      <w:pPr>
        <w:pStyle w:val="AllowPageBreak"/>
      </w:pPr>
    </w:p>
    <w:p w:rsidR="00000000" w:rsidRPr="00B87A89" w:rsidP="00B87A89">
      <w:pPr>
        <w:pStyle w:val="Heading1"/>
      </w:pPr>
      <w:bookmarkStart w:id="10" w:name="O_102852"/>
      <w:bookmarkEnd w:id="10"/>
      <w:r w:rsidRPr="00B87A89">
        <w:t>Evidence Guide</w:t>
      </w:r>
    </w:p>
    <w:tbl>
      <w:tblPr>
        <w:tblW w:w="9570" w:type="dxa"/>
        <w:tblLayout w:type="fixed"/>
        <w:tblCellMar>
          <w:left w:w="62" w:type="dxa"/>
          <w:right w:w="62" w:type="dxa"/>
        </w:tblCellMar>
        <w:tblLook w:val="0000"/>
      </w:tblPr>
      <w:tblGrid>
        <w:gridCol w:w="3908"/>
        <w:gridCol w:w="5662"/>
      </w:tblGrid>
      <w:tr w:rsidTr="009560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EVIDENCE GUIDE</w:t>
            </w:r>
          </w:p>
        </w:tc>
      </w:tr>
      <w:tr w:rsidTr="009560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t>The Evidence Guide provides advice on assessment and must be read in conjunction with the performance criteria, required skills and knowledge, range statement and the Assessment Guidelines for the Training Package.</w:t>
            </w:r>
          </w:p>
        </w:tc>
      </w:tr>
      <w:tr w:rsidTr="009560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p>
        </w:tc>
      </w:tr>
      <w:tr w:rsidTr="009560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Critical aspec</w:t>
            </w:r>
            <w:r w:rsidRPr="00B87A8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Assessors should ensure that candidates can:</w:t>
            </w:r>
          </w:p>
          <w:p w:rsidR="00000000" w:rsidRPr="00B87A89" w:rsidP="00B87A89">
            <w:pPr>
              <w:pStyle w:val="ListBullet"/>
            </w:pPr>
            <w:r w:rsidRPr="00B87A89">
              <w:t>correctly monitor the critical, quality and regulatory control points for their work</w:t>
            </w:r>
          </w:p>
          <w:p w:rsidR="00000000" w:rsidRPr="00B87A89" w:rsidP="00B87A89">
            <w:pPr>
              <w:pStyle w:val="ListBullet"/>
            </w:pPr>
            <w:r w:rsidRPr="00B87A89">
              <w:t>prevent contamination from occurring or recurring</w:t>
            </w:r>
          </w:p>
          <w:p w:rsidR="00000000" w:rsidRPr="00B87A89" w:rsidP="00B87A89">
            <w:pPr>
              <w:pStyle w:val="ListBullet"/>
            </w:pPr>
            <w:r w:rsidRPr="00B87A89">
              <w:t>collect, record and interpret data and take corrective actions</w:t>
            </w:r>
          </w:p>
          <w:p w:rsidR="00000000" w:rsidP="00B87A89">
            <w:pPr>
              <w:pStyle w:val="ListBullet"/>
              <w:rPr>
                <w:lang w:val="en-NZ"/>
              </w:rPr>
            </w:pPr>
            <w:r w:rsidRPr="00B87A89">
              <w:t>support continuous improvement through observation and communication.</w:t>
            </w:r>
          </w:p>
        </w:tc>
      </w:tr>
      <w:tr w:rsidTr="009560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This unit of competency</w:t>
            </w:r>
            <w:r w:rsidRPr="00B87A89">
              <w:t xml:space="preserve"> is to be assessed in the workplace or simulated workplace environment.</w:t>
            </w:r>
          </w:p>
          <w:p w:rsidR="00000000" w:rsidRPr="00B87A89" w:rsidP="00B87A89">
            <w:pPr>
              <w:pStyle w:val="BodyText"/>
            </w:pPr>
            <w:r w:rsidRPr="00B87A89">
              <w:t>This unit of competency may be assessed with</w:t>
            </w:r>
          </w:p>
          <w:p w:rsidR="00000000" w:rsidRPr="00B87A89" w:rsidP="00B87A89">
            <w:pPr>
              <w:pStyle w:val="ListBullet"/>
            </w:pPr>
            <w:r w:rsidRPr="00B87A89">
              <w:rPr>
                <w:rStyle w:val="Emphasis"/>
              </w:rPr>
              <w:t>MSL922001A Record and present data</w:t>
            </w:r>
            <w:r w:rsidRPr="00B87A89">
              <w:t xml:space="preserve"> </w:t>
            </w:r>
          </w:p>
          <w:p w:rsidR="00000000" w:rsidRPr="00B87A89" w:rsidP="00B87A89">
            <w:pPr>
              <w:pStyle w:val="ListBullet"/>
            </w:pPr>
            <w:r w:rsidRPr="00B87A89">
              <w:rPr>
                <w:rStyle w:val="Emphasis"/>
              </w:rPr>
              <w:t>MSL933002A Contribute to the achievement of quality objectives</w:t>
            </w:r>
            <w:r w:rsidRPr="00B87A89">
              <w:t>.</w:t>
            </w:r>
          </w:p>
          <w:p w:rsidR="00000000" w:rsidRPr="00B87A89" w:rsidP="00B87A89">
            <w:pPr>
              <w:pStyle w:val="BodyText"/>
            </w:pPr>
            <w:r w:rsidRPr="00B87A89">
              <w:t>Resources may include:</w:t>
            </w:r>
          </w:p>
          <w:p w:rsidR="00000000" w:rsidRPr="00B87A89" w:rsidP="00B87A89">
            <w:pPr>
              <w:pStyle w:val="ListBullet"/>
            </w:pPr>
            <w:r w:rsidRPr="00B87A89">
              <w:t>quality manual</w:t>
            </w:r>
            <w:r w:rsidRPr="00B87A89">
              <w:t>s and procedures</w:t>
            </w:r>
          </w:p>
          <w:p w:rsidR="00000000" w:rsidRPr="00B87A89" w:rsidP="00B87A89">
            <w:pPr>
              <w:pStyle w:val="ListBullet"/>
            </w:pPr>
            <w:r w:rsidRPr="00B87A89">
              <w:t>HACCP plans and records</w:t>
            </w:r>
          </w:p>
          <w:p w:rsidR="00000000" w:rsidRPr="00B87A89" w:rsidP="00B87A89">
            <w:pPr>
              <w:pStyle w:val="ListBullet"/>
            </w:pPr>
            <w:r w:rsidRPr="00B87A89">
              <w:t>recording equipment</w:t>
            </w:r>
          </w:p>
          <w:p w:rsidR="00000000" w:rsidP="00B87A89">
            <w:pPr>
              <w:pStyle w:val="ListBullet"/>
              <w:rPr>
                <w:lang w:val="en-NZ"/>
              </w:rPr>
            </w:pPr>
            <w:r w:rsidRPr="00B87A89">
              <w:t>case studies to illustrate a range of HACCP issues.</w:t>
            </w:r>
          </w:p>
        </w:tc>
      </w:tr>
      <w:tr w:rsidTr="009560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The following assessment methods are suggested:</w:t>
            </w:r>
          </w:p>
          <w:p w:rsidR="00000000" w:rsidRPr="00B87A89" w:rsidP="00B87A89">
            <w:pPr>
              <w:pStyle w:val="ListBullet"/>
            </w:pPr>
            <w:r w:rsidRPr="00B87A89">
              <w:t>observation of the candidate monitoring control points in the work area</w:t>
            </w:r>
          </w:p>
          <w:p w:rsidR="00000000" w:rsidRPr="00B87A89" w:rsidP="00B87A89">
            <w:pPr>
              <w:pStyle w:val="ListBullet"/>
            </w:pPr>
            <w:r w:rsidRPr="00B87A89">
              <w:t>feedback from supervisors and peers</w:t>
            </w:r>
          </w:p>
          <w:p w:rsidR="00000000" w:rsidRPr="00B87A89" w:rsidP="00B87A89">
            <w:pPr>
              <w:pStyle w:val="ListBullet"/>
            </w:pPr>
            <w:r w:rsidRPr="00B87A89">
              <w:t>review of corrective action suggestions by the candidate</w:t>
            </w:r>
          </w:p>
          <w:p w:rsidR="00000000" w:rsidRPr="00B87A89" w:rsidP="00B87A89">
            <w:pPr>
              <w:pStyle w:val="ListBullet"/>
            </w:pPr>
            <w:r w:rsidRPr="00B87A89">
              <w:t>flow charts or diagrams prepared by the candidate, alternatively, the candidate could explain existing charts or diagrams</w:t>
            </w:r>
          </w:p>
          <w:p w:rsidR="00000000" w:rsidRPr="00B87A89" w:rsidP="00B87A89">
            <w:pPr>
              <w:pStyle w:val="ListBullet"/>
            </w:pPr>
            <w:r w:rsidRPr="00B87A89">
              <w:t>candidate's response to simulated problem</w:t>
            </w:r>
            <w:r w:rsidRPr="00B87A89">
              <w:t>s.</w:t>
            </w:r>
          </w:p>
          <w:p w:rsidR="00000000" w:rsidRPr="00B87A89" w:rsidP="00B87A89">
            <w:pPr>
              <w:pStyle w:val="BodyText"/>
            </w:pPr>
            <w:r w:rsidRPr="00B87A89">
              <w:t xml:space="preserve">In all cases, practical assessment should be supported by questions to assess underpinning knowledge and those aspects of competency which are difficult to assess directly. </w:t>
            </w:r>
          </w:p>
          <w:p w:rsidR="00000000" w:rsidRPr="00B87A89" w:rsidP="00B87A89">
            <w:pPr>
              <w:pStyle w:val="BodyText"/>
            </w:pPr>
            <w:r w:rsidRPr="00B87A89">
              <w:t>Where applicable, reasonable adjustment must be made to work environments and t</w:t>
            </w:r>
            <w:r w:rsidRPr="00B87A89">
              <w:t xml:space="preserve">raining situations to accommodate ethnicity, age, gender, demographics and disability. </w:t>
            </w:r>
          </w:p>
          <w:p w:rsidR="00000000" w:rsidRPr="00B87A89" w:rsidP="00B87A89">
            <w:pPr>
              <w:pStyle w:val="BodyText"/>
            </w:pPr>
            <w:r w:rsidRPr="00B87A89">
              <w:t xml:space="preserve">Access must be provided to appropriate learning and/or assessment support when required. </w:t>
            </w:r>
          </w:p>
          <w:p w:rsidR="00000000" w:rsidP="00B87A89">
            <w:pPr>
              <w:pStyle w:val="BodyText"/>
              <w:rPr>
                <w:lang w:val="en-NZ"/>
              </w:rPr>
            </w:pPr>
            <w:r w:rsidRPr="00B87A89">
              <w:t>The language, literacy and numeracy demands of assessment should not be greate</w:t>
            </w:r>
            <w:r w:rsidRPr="00B87A89">
              <w:t>r than those required to undertake the unit of competency in a work like environment.</w:t>
            </w:r>
          </w:p>
        </w:tc>
      </w:tr>
      <w:tr w:rsidTr="009560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Industry representatives have provided the case study below to illustrate the practical application of this unit of competency and show its r</w:t>
            </w:r>
            <w:r w:rsidRPr="00B87A89">
              <w:t>elevance in a workplace setting.</w:t>
            </w:r>
          </w:p>
          <w:p w:rsidR="00000000" w:rsidRPr="00B87A89" w:rsidP="00B87A89">
            <w:pPr>
              <w:pStyle w:val="BodyText"/>
            </w:pPr>
            <w:r w:rsidRPr="00B87A89">
              <w:rPr>
                <w:rStyle w:val="SpecialBold"/>
              </w:rPr>
              <w:t>Food processing</w:t>
            </w:r>
            <w:r w:rsidRPr="00B87A89">
              <w:t xml:space="preserve"> </w:t>
            </w:r>
          </w:p>
          <w:p w:rsidR="00000000" w:rsidRPr="00B87A89" w:rsidP="00B87A89">
            <w:pPr>
              <w:pStyle w:val="BodyText"/>
            </w:pPr>
            <w:r w:rsidRPr="00B87A89">
              <w:t>The laboratory is responsible for the monitoring of the complex hazard analysis and critical control points in the food production process. The laboratory assistant gathers data at these points for the recording and checking of the process. All data outsid</w:t>
            </w:r>
            <w:r w:rsidRPr="00B87A89">
              <w:t>e the critical limits are immediately communicated to the laboratory manager and the production manager. Any approved corrective actions undertaken by the laboratory assistant are recorded in the laboratory log of system non-conformance. Suggestions for im</w:t>
            </w:r>
            <w:r w:rsidRPr="00B87A89">
              <w:t>provement of the system are also recorded for discussion at the regular team meeting.</w:t>
            </w:r>
          </w:p>
        </w:tc>
      </w:tr>
    </w:tbl>
    <w:p w:rsidR="00000000" w:rsidRPr="00B87A89" w:rsidP="00B87A89">
      <w:pPr>
        <w:pStyle w:val="BodyText"/>
      </w:pPr>
    </w:p>
    <w:p w:rsidR="00000000" w:rsidRPr="00B87A89" w:rsidP="00B87A89">
      <w:pPr>
        <w:pStyle w:val="AllowPageBreak"/>
      </w:pPr>
    </w:p>
    <w:p w:rsidR="00000000" w:rsidRPr="00B87A89" w:rsidP="00B87A89">
      <w:pPr>
        <w:pStyle w:val="Heading1"/>
      </w:pPr>
      <w:bookmarkStart w:id="11" w:name="O_102853"/>
      <w:bookmarkEnd w:id="11"/>
      <w:r w:rsidRPr="00B87A89">
        <w:t>Range Statement</w:t>
      </w:r>
    </w:p>
    <w:tbl>
      <w:tblPr>
        <w:tblW w:w="0" w:type="auto"/>
        <w:tblLayout w:type="fixed"/>
        <w:tblCellMar>
          <w:left w:w="62" w:type="dxa"/>
          <w:right w:w="62" w:type="dxa"/>
        </w:tblCellMar>
        <w:tblLook w:val="0000"/>
      </w:tblPr>
      <w:tblGrid>
        <w:gridCol w:w="3489"/>
        <w:gridCol w:w="5033"/>
      </w:tblGrid>
      <w:tr w:rsidTr="009560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RANGE STATEMENT</w:t>
            </w:r>
          </w:p>
        </w:tc>
      </w:tr>
      <w:tr w:rsidTr="009560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t>The range statement relates to the unit of competency as a whole. It allows for different work environments and situa</w:t>
            </w:r>
            <w:r w:rsidRPr="00B87A89">
              <w:t>tions that may affect performance. Bold italicised wording, if used in the performance criteria, is detailed below. Essential operating conditions that may be present with training and assessment (depending on the work situation, needs of the candidate, ac</w:t>
            </w:r>
            <w:r w:rsidRPr="00B87A89">
              <w:t>cessibility of the item, and local industry and regional contexts) may also be included.</w:t>
            </w:r>
          </w:p>
        </w:tc>
      </w:tr>
      <w:tr w:rsidTr="0095601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Codes of practice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t>Where reference is made to industry codes of practice, and Australian/international standards, it is expected the latest version will be used</w:t>
            </w:r>
          </w:p>
        </w:tc>
      </w:tr>
      <w:tr w:rsidTr="0095601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Standards</w:t>
            </w:r>
            <w:r w:rsidRPr="00B87A89">
              <w:t xml:space="preserve">, </w:t>
            </w:r>
            <w:r w:rsidRPr="00B87A89">
              <w:rPr>
                <w:rStyle w:val="SpecialBold"/>
              </w:rPr>
              <w:t>codes</w:t>
            </w:r>
            <w:r w:rsidRPr="00B87A89">
              <w:t xml:space="preserve">, </w:t>
            </w:r>
            <w:r w:rsidRPr="00B87A89">
              <w:rPr>
                <w:rStyle w:val="SpecialBold"/>
              </w:rPr>
              <w:t>procedures and</w:t>
            </w:r>
            <w:r w:rsidRPr="00B87A89">
              <w:t>/</w:t>
            </w:r>
            <w:r w:rsidRPr="00B87A89">
              <w:rPr>
                <w:rStyle w:val="SpecialBold"/>
              </w:rPr>
              <w:t>or enterprise requirements</w:t>
            </w:r>
            <w:r w:rsidRPr="00B87A89">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Standards, codes, procedures and/or enterprise requirements may include:</w:t>
            </w:r>
          </w:p>
          <w:p w:rsidR="00000000" w:rsidRPr="00B87A89" w:rsidP="00B87A89">
            <w:pPr>
              <w:pStyle w:val="ListBullet"/>
            </w:pPr>
            <w:r w:rsidRPr="00B87A89">
              <w:t xml:space="preserve">Australia New Zealand Food Standards (ANZFS) Code </w:t>
            </w:r>
          </w:p>
          <w:p w:rsidR="00000000" w:rsidRPr="00B87A89" w:rsidP="00B87A89">
            <w:pPr>
              <w:pStyle w:val="ListBullet"/>
            </w:pPr>
            <w:r w:rsidRPr="00B87A89">
              <w:t>food safety plans and/or pharmaceutical safety requirements</w:t>
            </w:r>
          </w:p>
          <w:p w:rsidR="00000000" w:rsidRPr="00B87A89" w:rsidP="00B87A89">
            <w:pPr>
              <w:pStyle w:val="ListBullet"/>
            </w:pPr>
            <w:r w:rsidRPr="00B87A89">
              <w:t>HACCP plans/documents/procedures</w:t>
            </w:r>
          </w:p>
          <w:p w:rsidR="00000000" w:rsidRPr="00B87A89" w:rsidP="00B87A89">
            <w:pPr>
              <w:pStyle w:val="ListBullet"/>
            </w:pPr>
            <w:r w:rsidRPr="00B87A89">
              <w:t>principles of good laboratory practice (GLP)</w:t>
            </w:r>
          </w:p>
          <w:p w:rsidR="00000000" w:rsidRPr="00B87A89" w:rsidP="00B87A89">
            <w:pPr>
              <w:pStyle w:val="ListBullet"/>
            </w:pPr>
            <w:r w:rsidRPr="00B87A89">
              <w:t>Australian code of good manufacturing practice for medicinal products (GMP)</w:t>
            </w:r>
          </w:p>
          <w:p w:rsidR="00000000" w:rsidRPr="00B87A89" w:rsidP="00B87A89">
            <w:pPr>
              <w:pStyle w:val="ListBullet"/>
            </w:pPr>
            <w:r w:rsidRPr="00B87A89">
              <w:t>product safety plan</w:t>
            </w:r>
          </w:p>
          <w:p w:rsidR="00000000" w:rsidRPr="00B87A89" w:rsidP="00B87A89">
            <w:pPr>
              <w:pStyle w:val="ListBullet"/>
            </w:pPr>
            <w:r w:rsidRPr="00B87A89">
              <w:t>production/quality procedures/requirements</w:t>
            </w:r>
          </w:p>
          <w:p w:rsidR="00000000" w:rsidRPr="00B87A89" w:rsidP="00B87A89">
            <w:pPr>
              <w:pStyle w:val="ListBullet"/>
            </w:pPr>
            <w:r w:rsidRPr="00B87A89">
              <w:t>quality manuals</w:t>
            </w:r>
          </w:p>
          <w:p w:rsidR="00000000" w:rsidRPr="00B87A89" w:rsidP="00B87A89">
            <w:pPr>
              <w:pStyle w:val="ListBullet"/>
            </w:pPr>
            <w:r w:rsidRPr="00B87A89">
              <w:t>standard operating procedures (SOPs)</w:t>
            </w:r>
          </w:p>
          <w:p w:rsidR="00000000" w:rsidP="00B87A89">
            <w:pPr>
              <w:pStyle w:val="ListBullet"/>
              <w:rPr>
                <w:lang w:val="en-NZ"/>
              </w:rPr>
            </w:pPr>
            <w:r w:rsidRPr="00B87A89">
              <w:t>state/territory/national legislation</w:t>
            </w:r>
          </w:p>
        </w:tc>
      </w:tr>
      <w:tr w:rsidTr="0095601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Control points</w:t>
            </w:r>
            <w:r w:rsidRPr="00B87A89">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Control points may be:</w:t>
            </w:r>
          </w:p>
          <w:p w:rsidR="00000000" w:rsidRPr="00B87A89" w:rsidP="00B87A89">
            <w:pPr>
              <w:pStyle w:val="ListBullet"/>
            </w:pPr>
            <w:r w:rsidRPr="00B87A89">
              <w:t>critical</w:t>
            </w:r>
          </w:p>
          <w:p w:rsidR="00000000" w:rsidRPr="00B87A89" w:rsidP="00B87A89">
            <w:pPr>
              <w:pStyle w:val="ListBullet"/>
            </w:pPr>
            <w:r w:rsidRPr="00B87A89">
              <w:t>quality</w:t>
            </w:r>
          </w:p>
          <w:p w:rsidR="00000000" w:rsidP="00B87A89">
            <w:pPr>
              <w:pStyle w:val="ListBullet"/>
              <w:rPr>
                <w:lang w:val="en-NZ"/>
              </w:rPr>
            </w:pPr>
            <w:r w:rsidRPr="00B87A89">
              <w:t>regulatory</w:t>
            </w:r>
          </w:p>
        </w:tc>
      </w:tr>
      <w:tr w:rsidTr="0095601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Products</w:t>
            </w:r>
            <w:r w:rsidRPr="00B87A89">
              <w:t>/</w:t>
            </w:r>
            <w:r w:rsidRPr="00B87A89">
              <w:rPr>
                <w:rStyle w:val="SpecialBold"/>
              </w:rPr>
              <w:t>materials handled by laboratory assistants</w:t>
            </w:r>
            <w:r w:rsidRPr="00B87A89">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Products/materials handled by laboratory assistants may inc</w:t>
            </w:r>
            <w:r w:rsidRPr="00B87A89">
              <w:t>lude:</w:t>
            </w:r>
          </w:p>
          <w:p w:rsidR="00000000" w:rsidRPr="00B87A89" w:rsidP="00B87A89">
            <w:pPr>
              <w:pStyle w:val="ListBullet"/>
            </w:pPr>
            <w:r w:rsidRPr="00B87A89">
              <w:t>raw materials</w:t>
            </w:r>
          </w:p>
          <w:p w:rsidR="00000000" w:rsidRPr="00B87A89" w:rsidP="00B87A89">
            <w:pPr>
              <w:pStyle w:val="ListBullet"/>
            </w:pPr>
            <w:r w:rsidRPr="00B87A89">
              <w:t>ingredients</w:t>
            </w:r>
          </w:p>
          <w:p w:rsidR="00000000" w:rsidRPr="00B87A89" w:rsidP="00B87A89">
            <w:pPr>
              <w:pStyle w:val="ListBullet"/>
            </w:pPr>
            <w:r w:rsidRPr="00B87A89">
              <w:t>adjuncts/process aids</w:t>
            </w:r>
          </w:p>
          <w:p w:rsidR="00000000" w:rsidRPr="00B87A89" w:rsidP="00B87A89">
            <w:pPr>
              <w:pStyle w:val="ListBullet"/>
            </w:pPr>
            <w:r w:rsidRPr="00B87A89">
              <w:t>consumables</w:t>
            </w:r>
          </w:p>
          <w:p w:rsidR="00000000" w:rsidRPr="00B87A89" w:rsidP="00B87A89">
            <w:pPr>
              <w:pStyle w:val="ListBullet"/>
            </w:pPr>
            <w:r w:rsidRPr="00B87A89">
              <w:t>finished product</w:t>
            </w:r>
          </w:p>
          <w:p w:rsidR="00000000" w:rsidRPr="00B87A89" w:rsidP="00B87A89">
            <w:pPr>
              <w:pStyle w:val="ListBullet"/>
            </w:pPr>
            <w:r w:rsidRPr="00B87A89">
              <w:t>chemicals</w:t>
            </w:r>
          </w:p>
          <w:p w:rsidR="00000000" w:rsidP="00B87A89">
            <w:pPr>
              <w:pStyle w:val="ListBullet"/>
              <w:rPr>
                <w:lang w:val="en-NZ"/>
              </w:rPr>
            </w:pPr>
            <w:r w:rsidRPr="00B87A89">
              <w:t>food additives</w:t>
            </w:r>
          </w:p>
        </w:tc>
      </w:tr>
      <w:tr w:rsidTr="0095601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Occupational health and safety</w:t>
            </w:r>
            <w:r w:rsidRPr="00B87A89">
              <w:t xml:space="preserve"> (</w:t>
            </w:r>
            <w:r w:rsidRPr="00B87A89">
              <w:rPr>
                <w:rStyle w:val="SpecialBold"/>
              </w:rPr>
              <w:t>OHS</w:t>
            </w:r>
            <w:r w:rsidRPr="00B87A89">
              <w:t xml:space="preserve">) </w:t>
            </w:r>
            <w:r w:rsidRPr="00B87A89">
              <w:rPr>
                <w:rStyle w:val="SpecialBold"/>
              </w:rPr>
              <w:t>and environmental management requirements</w:t>
            </w:r>
            <w:r w:rsidRPr="00B87A89">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OHS and environmental management requirements:</w:t>
            </w:r>
          </w:p>
          <w:p w:rsidR="00000000" w:rsidRPr="00B87A89" w:rsidP="00B87A89">
            <w:pPr>
              <w:pStyle w:val="ListBullet"/>
            </w:pPr>
            <w:r w:rsidRPr="00B87A89">
              <w:t>all operations must comply with enterprise OHS and environmental management requirements, which may be imposed through state/territory or federal legislation - these requirements must not be compromised at any time</w:t>
            </w:r>
          </w:p>
          <w:p w:rsidR="00000000" w:rsidRPr="00B87A89" w:rsidP="00B87A89">
            <w:pPr>
              <w:pStyle w:val="ListBullet"/>
            </w:pPr>
            <w:r w:rsidRPr="00B87A89">
              <w:t>all operations assume the potentially haz</w:t>
            </w:r>
            <w:r w:rsidRPr="00B87A89">
              <w:t>ardous nature of samples and require standard precautions to be applied</w:t>
            </w:r>
          </w:p>
          <w:p w:rsidR="00000000" w:rsidRPr="00B87A89" w:rsidP="00B87A89">
            <w:pPr>
              <w:pStyle w:val="ListBullet"/>
            </w:pPr>
            <w:r w:rsidRPr="00B87A89">
              <w:t>where relevant, users should access and apply current industry understanding of infection control issued by the National Health and Medical Research Council (NHMRC) and State and Terri</w:t>
            </w:r>
            <w:r w:rsidRPr="00B87A89">
              <w:t>tory Departments of Health</w:t>
            </w:r>
          </w:p>
        </w:tc>
      </w:tr>
    </w:tbl>
    <w:p w:rsidR="0095601C" w:rsidP="00B87A89">
      <w:pPr>
        <w:pStyle w:val="BodyText"/>
      </w:pPr>
    </w:p>
    <w:p w:rsidR="0095601C" w:rsidP="00B87A89">
      <w:pPr>
        <w:pStyle w:val="BodyText"/>
      </w:pPr>
    </w:p>
    <w:p w:rsidR="00000000" w:rsidRPr="00B87A89" w:rsidP="00B87A89">
      <w:pPr>
        <w:pStyle w:val="Heading1"/>
      </w:pPr>
      <w:bookmarkStart w:id="12" w:name="O_102854"/>
      <w:bookmarkEnd w:id="12"/>
      <w:r w:rsidRPr="00B87A89">
        <w:t>Unit Sector(s)</w:t>
      </w:r>
    </w:p>
    <w:tbl>
      <w:tblPr>
        <w:tblW w:w="0" w:type="auto"/>
        <w:tblLayout w:type="fixed"/>
        <w:tblCellMar>
          <w:left w:w="62" w:type="dxa"/>
          <w:right w:w="62" w:type="dxa"/>
        </w:tblCellMar>
        <w:tblLook w:val="0000"/>
      </w:tblPr>
      <w:tblGrid>
        <w:gridCol w:w="2601"/>
        <w:gridCol w:w="5921"/>
      </w:tblGrid>
      <w:tr w:rsidTr="0095601C">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r w:rsidRPr="00B87A89">
              <w:t>Maintenance</w:t>
            </w:r>
          </w:p>
        </w:tc>
      </w:tr>
    </w:tbl>
    <w:p w:rsidR="00000000" w:rsidRPr="00B87A89" w:rsidP="00B87A89">
      <w:pPr>
        <w:pStyle w:val="BodyText"/>
      </w:pPr>
    </w:p>
    <w:p w:rsidR="00000000" w:rsidRPr="00B87A89" w:rsidP="00B87A89">
      <w:pPr>
        <w:pStyle w:val="AllowPageBreak"/>
      </w:pPr>
    </w:p>
    <w:p w:rsidR="00000000" w:rsidRPr="00B87A89" w:rsidP="00B87A89">
      <w:pPr>
        <w:pStyle w:val="Heading1"/>
      </w:pPr>
      <w:bookmarkStart w:id="13" w:name="O_159456"/>
      <w:bookmarkEnd w:id="13"/>
      <w:r w:rsidRPr="00B87A89">
        <w:t>Competency field</w:t>
      </w:r>
    </w:p>
    <w:tbl>
      <w:tblPr>
        <w:tblW w:w="0" w:type="auto"/>
        <w:tblLayout w:type="fixed"/>
        <w:tblCellMar>
          <w:left w:w="62" w:type="dxa"/>
          <w:right w:w="62" w:type="dxa"/>
        </w:tblCellMar>
        <w:tblLook w:val="0000"/>
      </w:tblPr>
      <w:tblGrid>
        <w:gridCol w:w="2784"/>
        <w:gridCol w:w="5738"/>
      </w:tblGrid>
      <w:tr w:rsidTr="009560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p>
        </w:tc>
      </w:tr>
    </w:tbl>
    <w:p w:rsidR="00000000" w:rsidRPr="00B87A89" w:rsidP="00B87A89">
      <w:pPr>
        <w:pStyle w:val="BodyText"/>
      </w:pPr>
    </w:p>
    <w:p w:rsidR="00000000" w:rsidRPr="00B87A89" w:rsidP="00B87A89">
      <w:pPr>
        <w:pStyle w:val="AllowPageBreak"/>
      </w:pPr>
    </w:p>
    <w:p w:rsidR="00000000" w:rsidRPr="00B87A89" w:rsidP="00B87A89">
      <w:pPr>
        <w:pStyle w:val="Heading1"/>
      </w:pPr>
      <w:bookmarkStart w:id="14" w:name="O_159455"/>
      <w:bookmarkEnd w:id="14"/>
      <w:r w:rsidRPr="00B87A89">
        <w:t>Co-requisite units</w:t>
      </w:r>
    </w:p>
    <w:tbl>
      <w:tblPr>
        <w:tblW w:w="0" w:type="auto"/>
        <w:tblLayout w:type="fixed"/>
        <w:tblCellMar>
          <w:left w:w="62" w:type="dxa"/>
          <w:right w:w="62" w:type="dxa"/>
        </w:tblCellMar>
        <w:tblLook w:val="0000"/>
      </w:tblPr>
      <w:tblGrid>
        <w:gridCol w:w="2641"/>
        <w:gridCol w:w="1322"/>
        <w:gridCol w:w="4559"/>
      </w:tblGrid>
      <w:tr w:rsidTr="009560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r w:rsidRPr="00B87A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p>
        </w:tc>
      </w:tr>
      <w:tr w:rsidTr="009560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89">
            <w:pPr>
              <w:pStyle w:val="BodyText"/>
              <w:rPr>
                <w:lang w:val="en-NZ"/>
              </w:rPr>
            </w:pPr>
          </w:p>
        </w:tc>
      </w:tr>
      <w:tr w:rsidTr="009560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89" w:rsidP="00B87A89">
            <w:pPr>
              <w:pStyle w:val="BodyText"/>
            </w:pPr>
          </w:p>
        </w:tc>
      </w:tr>
    </w:tbl>
    <w:p w:rsidR="00000000" w:rsidRPr="00B87A89" w:rsidP="00B87A89">
      <w:pPr>
        <w:pStyle w:val="BodyText"/>
      </w:pPr>
    </w:p>
    <w:p w:rsidR="00000000" w:rsidRPr="00B87A89" w:rsidP="00B87A89"/>
    <w:sectPr w:rsidSect="00B87A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01C" w:rsidP="00956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1C" w:rsidP="00B87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601C" w:rsidP="00B87A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601C" w:rsidP="00B87A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01C" w:rsidP="009560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1C" w:rsidP="00B87A89">
    <w:pPr>
      <w:pStyle w:val="Header"/>
      <w:framePr w:wrap="around"/>
    </w:pPr>
    <w:r>
      <w:fldChar w:fldCharType="begin"/>
    </w:r>
    <w:r>
      <w:instrText xml:space="preserve"> TITLE   \* MERGEFORMAT </w:instrText>
    </w:r>
    <w:r>
      <w:fldChar w:fldCharType="separate"/>
    </w:r>
    <w:r>
      <w:t>MSL933003A Apply critical control point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601C" w:rsidP="00B87A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8AA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DC4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B49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A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7A89"/>
    <w:pPr>
      <w:spacing w:before="360" w:after="60"/>
      <w:outlineLvl w:val="0"/>
    </w:pPr>
    <w:rPr>
      <w:sz w:val="32"/>
    </w:rPr>
  </w:style>
  <w:style w:type="paragraph" w:styleId="Heading2">
    <w:name w:val="heading 2"/>
    <w:basedOn w:val="HeadingBase"/>
    <w:next w:val="BodyText"/>
    <w:link w:val="Heading2Char"/>
    <w:qFormat/>
    <w:rsid w:val="00B87A89"/>
    <w:pPr>
      <w:keepLines/>
      <w:spacing w:before="240" w:after="120"/>
      <w:outlineLvl w:val="1"/>
    </w:pPr>
    <w:rPr>
      <w:sz w:val="28"/>
      <w:szCs w:val="40"/>
    </w:rPr>
  </w:style>
  <w:style w:type="paragraph" w:styleId="Heading3">
    <w:name w:val="heading 3"/>
    <w:basedOn w:val="HeadingBase"/>
    <w:next w:val="BodyText"/>
    <w:link w:val="Heading3Char"/>
    <w:qFormat/>
    <w:rsid w:val="00B87A89"/>
    <w:pPr>
      <w:spacing w:before="180" w:after="120"/>
      <w:outlineLvl w:val="2"/>
    </w:pPr>
    <w:rPr>
      <w:spacing w:val="-10"/>
      <w:kern w:val="32"/>
    </w:rPr>
  </w:style>
  <w:style w:type="paragraph" w:styleId="Heading4">
    <w:name w:val="heading 4"/>
    <w:basedOn w:val="HeadingBase"/>
    <w:next w:val="BodyText"/>
    <w:link w:val="Heading4Char"/>
    <w:qFormat/>
    <w:rsid w:val="00B87A89"/>
    <w:pPr>
      <w:spacing w:before="160" w:after="120"/>
      <w:outlineLvl w:val="3"/>
    </w:pPr>
    <w:rPr>
      <w:sz w:val="22"/>
    </w:rPr>
  </w:style>
  <w:style w:type="paragraph" w:styleId="Heading5">
    <w:name w:val="heading 5"/>
    <w:basedOn w:val="HeadingBase"/>
    <w:next w:val="Normal"/>
    <w:link w:val="Heading5Char"/>
    <w:qFormat/>
    <w:rsid w:val="00B87A89"/>
    <w:pPr>
      <w:spacing w:before="80"/>
      <w:outlineLvl w:val="4"/>
    </w:pPr>
    <w:rPr>
      <w:color w:val="918585"/>
      <w:sz w:val="20"/>
    </w:rPr>
  </w:style>
  <w:style w:type="paragraph" w:styleId="Heading6">
    <w:name w:val="heading 6"/>
    <w:basedOn w:val="HeadingBase"/>
    <w:next w:val="Normal"/>
    <w:link w:val="Heading6Char"/>
    <w:qFormat/>
    <w:rsid w:val="00B87A89"/>
    <w:pPr>
      <w:spacing w:before="60"/>
      <w:outlineLvl w:val="5"/>
    </w:pPr>
    <w:rPr>
      <w:color w:val="918585"/>
      <w:sz w:val="20"/>
    </w:rPr>
  </w:style>
  <w:style w:type="paragraph" w:styleId="Heading7">
    <w:name w:val="heading 7"/>
    <w:basedOn w:val="Normal"/>
    <w:next w:val="Normal"/>
    <w:link w:val="Heading7Char"/>
    <w:qFormat/>
    <w:rsid w:val="00B87A89"/>
    <w:pPr>
      <w:ind w:left="720"/>
      <w:outlineLvl w:val="6"/>
    </w:pPr>
    <w:rPr>
      <w:i/>
    </w:rPr>
  </w:style>
  <w:style w:type="paragraph" w:styleId="Heading8">
    <w:name w:val="heading 8"/>
    <w:basedOn w:val="Normal"/>
    <w:next w:val="Normal"/>
    <w:link w:val="Heading8Char"/>
    <w:qFormat/>
    <w:rsid w:val="00B87A89"/>
    <w:pPr>
      <w:ind w:left="720"/>
      <w:outlineLvl w:val="7"/>
    </w:pPr>
    <w:rPr>
      <w:i/>
    </w:rPr>
  </w:style>
  <w:style w:type="paragraph" w:styleId="Heading9">
    <w:name w:val="heading 9"/>
    <w:basedOn w:val="Normal"/>
    <w:next w:val="Normal"/>
    <w:link w:val="Heading9Char"/>
    <w:qFormat/>
    <w:rsid w:val="00B87A89"/>
    <w:pPr>
      <w:ind w:left="720"/>
      <w:outlineLvl w:val="8"/>
    </w:pPr>
    <w:rPr>
      <w:i/>
    </w:rPr>
  </w:style>
  <w:style w:type="character" w:default="1" w:styleId="DefaultParagraphFont">
    <w:name w:val="Default Paragraph Font"/>
    <w:uiPriority w:val="1"/>
    <w:unhideWhenUsed/>
    <w:rsid w:val="00B87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A89"/>
  </w:style>
  <w:style w:type="character" w:customStyle="1" w:styleId="Heading1Char">
    <w:name w:val="Heading 1 Char"/>
    <w:basedOn w:val="DefaultParagraphFont"/>
    <w:link w:val="Heading1"/>
    <w:rsid w:val="00B87A89"/>
    <w:rPr>
      <w:rFonts w:ascii="Times New Roman" w:eastAsia="Times New Roman" w:hAnsi="Times New Roman" w:cs="Times New Roman"/>
      <w:b/>
      <w:sz w:val="32"/>
      <w:szCs w:val="20"/>
      <w:lang w:eastAsia="en-US"/>
    </w:rPr>
  </w:style>
  <w:style w:type="paragraph" w:styleId="BodyText">
    <w:name w:val="Body Text"/>
    <w:basedOn w:val="Normal"/>
    <w:link w:val="BodyTextChar"/>
    <w:rsid w:val="00B87A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7A89"/>
    <w:rPr>
      <w:rFonts w:ascii="Times New Roman" w:eastAsia="Times New Roman" w:hAnsi="Times New Roman" w:cs="Times New Roman"/>
      <w:sz w:val="24"/>
      <w:lang w:val="en-US" w:eastAsia="en-US"/>
    </w:rPr>
  </w:style>
  <w:style w:type="paragraph" w:styleId="Footer">
    <w:name w:val="footer"/>
    <w:basedOn w:val="Normal"/>
    <w:link w:val="FooterChar"/>
    <w:rsid w:val="00B87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A89"/>
    <w:rPr>
      <w:rFonts w:ascii="Times New Roman" w:eastAsia="Times New Roman" w:hAnsi="Times New Roman" w:cs="Times New Roman"/>
      <w:sz w:val="16"/>
      <w:lang w:val="en-US" w:eastAsia="en-US"/>
    </w:rPr>
  </w:style>
  <w:style w:type="paragraph" w:styleId="List">
    <w:name w:val="List"/>
    <w:basedOn w:val="BodyText"/>
    <w:next w:val="BodyText"/>
    <w:rsid w:val="00B87A89"/>
    <w:pPr>
      <w:tabs>
        <w:tab w:val="left" w:pos="340"/>
      </w:tabs>
      <w:spacing w:before="60" w:after="60"/>
      <w:ind w:left="340" w:hanging="340"/>
    </w:pPr>
  </w:style>
  <w:style w:type="paragraph" w:styleId="ListBullet">
    <w:name w:val="List Bullet"/>
    <w:basedOn w:val="List"/>
    <w:rsid w:val="00B87A89"/>
    <w:pPr>
      <w:numPr>
        <w:numId w:val="13"/>
      </w:numPr>
      <w:tabs>
        <w:tab w:val="clear" w:pos="340"/>
      </w:tabs>
      <w:spacing w:before="40" w:after="40"/>
    </w:pPr>
  </w:style>
  <w:style w:type="character" w:customStyle="1" w:styleId="SpecialBold">
    <w:name w:val="Special Bold"/>
    <w:basedOn w:val="DefaultParagraphFont"/>
    <w:rsid w:val="00B87A89"/>
    <w:rPr>
      <w:b/>
      <w:spacing w:val="0"/>
    </w:rPr>
  </w:style>
  <w:style w:type="paragraph" w:styleId="ListBullet2">
    <w:name w:val="List Bullet 2"/>
    <w:basedOn w:val="List2"/>
    <w:rsid w:val="00B87A89"/>
    <w:pPr>
      <w:numPr>
        <w:numId w:val="14"/>
      </w:numPr>
      <w:tabs>
        <w:tab w:val="clear" w:pos="680"/>
      </w:tabs>
    </w:pPr>
  </w:style>
  <w:style w:type="paragraph" w:styleId="Header">
    <w:name w:val="header"/>
    <w:basedOn w:val="Normal"/>
    <w:link w:val="HeaderChar"/>
    <w:rsid w:val="00B87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A8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87A89"/>
    <w:rPr>
      <w:i/>
    </w:rPr>
  </w:style>
  <w:style w:type="paragraph" w:customStyle="1" w:styleId="SuperHeading">
    <w:name w:val="SuperHeading"/>
    <w:basedOn w:val="Normal"/>
    <w:rsid w:val="00B87A89"/>
    <w:pPr>
      <w:spacing w:before="240" w:after="120"/>
      <w:outlineLvl w:val="0"/>
    </w:pPr>
    <w:rPr>
      <w:rFonts w:ascii="Times New Roman" w:hAnsi="Times New Roman"/>
      <w:b/>
      <w:sz w:val="28"/>
    </w:rPr>
  </w:style>
  <w:style w:type="paragraph" w:customStyle="1" w:styleId="AllowPageBreak">
    <w:name w:val="AllowPageBreak"/>
    <w:rsid w:val="00B87A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7A89"/>
    <w:pPr>
      <w:tabs>
        <w:tab w:val="left" w:pos="680"/>
      </w:tabs>
      <w:spacing w:before="60" w:after="60"/>
      <w:ind w:left="680" w:hanging="340"/>
    </w:pPr>
  </w:style>
  <w:style w:type="character" w:customStyle="1" w:styleId="Heading2Char">
    <w:name w:val="Heading 2 Char"/>
    <w:basedOn w:val="DefaultParagraphFont"/>
    <w:link w:val="Heading2"/>
    <w:rsid w:val="00B87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A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7A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7A89"/>
    <w:rPr>
      <w:rFonts w:ascii="Courier New" w:eastAsia="Times New Roman" w:hAnsi="Courier New" w:cs="Times New Roman"/>
      <w:i/>
      <w:szCs w:val="20"/>
      <w:lang w:val="en-US" w:eastAsia="en-US"/>
    </w:rPr>
  </w:style>
  <w:style w:type="paragraph" w:customStyle="1" w:styleId="HeadingBase">
    <w:name w:val="Heading Base"/>
    <w:rsid w:val="00B87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A89"/>
    <w:pPr>
      <w:tabs>
        <w:tab w:val="right" w:leader="dot" w:pos="9072"/>
      </w:tabs>
      <w:ind w:left="567"/>
    </w:pPr>
    <w:rPr>
      <w:szCs w:val="22"/>
    </w:rPr>
  </w:style>
  <w:style w:type="paragraph" w:customStyle="1" w:styleId="TOCBase">
    <w:name w:val="TOC Base"/>
    <w:rsid w:val="00B87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A89"/>
    <w:pPr>
      <w:tabs>
        <w:tab w:val="right" w:leader="dot" w:pos="9072"/>
      </w:tabs>
      <w:spacing w:before="40" w:after="40"/>
      <w:ind w:left="284"/>
    </w:pPr>
    <w:rPr>
      <w:rFonts w:ascii="Times New Roman" w:hAnsi="Times New Roman"/>
    </w:rPr>
  </w:style>
  <w:style w:type="paragraph" w:styleId="TOC1">
    <w:name w:val="toc 1"/>
    <w:basedOn w:val="TOCBase"/>
    <w:next w:val="Normal"/>
    <w:rsid w:val="00B87A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7A89"/>
    <w:pPr>
      <w:spacing w:before="5040"/>
      <w:jc w:val="center"/>
    </w:pPr>
    <w:rPr>
      <w:sz w:val="48"/>
      <w:szCs w:val="72"/>
      <w:lang w:val="en-US"/>
    </w:rPr>
  </w:style>
  <w:style w:type="character" w:customStyle="1" w:styleId="TitleChar">
    <w:name w:val="Title Char"/>
    <w:basedOn w:val="DefaultParagraphFont"/>
    <w:link w:val="Title"/>
    <w:rsid w:val="00B87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A89"/>
    <w:pPr>
      <w:tabs>
        <w:tab w:val="left" w:pos="3600"/>
        <w:tab w:val="left" w:pos="3958"/>
      </w:tabs>
    </w:pPr>
  </w:style>
  <w:style w:type="paragraph" w:customStyle="1" w:styleId="Note">
    <w:name w:val="Note"/>
    <w:basedOn w:val="BodyText"/>
    <w:rsid w:val="00B87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A89"/>
    <w:pPr>
      <w:framePr w:wrap="auto" w:hAnchor="text" w:y="6049"/>
    </w:pPr>
    <w:rPr>
      <w:color w:val="000000"/>
      <w:sz w:val="40"/>
    </w:rPr>
  </w:style>
  <w:style w:type="paragraph" w:customStyle="1" w:styleId="TOCTitle">
    <w:name w:val="TOCTitle"/>
    <w:basedOn w:val="Heading1"/>
    <w:rsid w:val="00B87A89"/>
    <w:pPr>
      <w:spacing w:after="240"/>
      <w:jc w:val="center"/>
      <w:outlineLvl w:val="9"/>
    </w:pPr>
    <w:rPr>
      <w:caps/>
    </w:rPr>
  </w:style>
  <w:style w:type="paragraph" w:customStyle="1" w:styleId="Version">
    <w:name w:val="Version"/>
    <w:rsid w:val="00B87A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A89"/>
    <w:pPr>
      <w:keepNext w:val="0"/>
      <w:tabs>
        <w:tab w:val="right" w:pos="4176"/>
      </w:tabs>
      <w:ind w:left="198" w:hanging="198"/>
    </w:pPr>
    <w:rPr>
      <w:rFonts w:ascii="Garamond" w:hAnsi="Garamond"/>
    </w:rPr>
  </w:style>
  <w:style w:type="paragraph" w:styleId="IndexHeading">
    <w:name w:val="index heading"/>
    <w:basedOn w:val="Normal"/>
    <w:next w:val="Index1"/>
    <w:semiHidden/>
    <w:rsid w:val="00B87A89"/>
    <w:pPr>
      <w:spacing w:before="120" w:after="120"/>
    </w:pPr>
    <w:rPr>
      <w:rFonts w:ascii="Arial" w:hAnsi="Arial"/>
      <w:b/>
      <w:color w:val="918585"/>
      <w:sz w:val="24"/>
    </w:rPr>
  </w:style>
  <w:style w:type="paragraph" w:customStyle="1" w:styleId="Chapter">
    <w:name w:val="Chapter"/>
    <w:basedOn w:val="Normal"/>
    <w:rsid w:val="00B87A89"/>
    <w:pPr>
      <w:spacing w:before="240"/>
    </w:pPr>
    <w:rPr>
      <w:rFonts w:ascii="Times New Roman" w:hAnsi="Times New Roman"/>
      <w:smallCaps/>
      <w:spacing w:val="80"/>
      <w:sz w:val="28"/>
    </w:rPr>
  </w:style>
  <w:style w:type="paragraph" w:customStyle="1" w:styleId="InChapter">
    <w:name w:val="InChapter"/>
    <w:basedOn w:val="Heading3"/>
    <w:rsid w:val="00B87A89"/>
    <w:pPr>
      <w:spacing w:after="240"/>
      <w:outlineLvl w:val="9"/>
    </w:pPr>
    <w:rPr>
      <w:noProof/>
    </w:rPr>
  </w:style>
  <w:style w:type="paragraph" w:styleId="Index2">
    <w:name w:val="index 2"/>
    <w:basedOn w:val="Normal"/>
    <w:next w:val="Normal"/>
    <w:semiHidden/>
    <w:rsid w:val="00B87A89"/>
    <w:pPr>
      <w:tabs>
        <w:tab w:val="right" w:pos="4176"/>
      </w:tabs>
      <w:ind w:left="568" w:hanging="284"/>
    </w:pPr>
    <w:rPr>
      <w:rFonts w:ascii="Garamond" w:hAnsi="Garamond"/>
    </w:rPr>
  </w:style>
  <w:style w:type="paragraph" w:customStyle="1" w:styleId="Byline">
    <w:name w:val="Byline"/>
    <w:rsid w:val="00B87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A89"/>
    <w:pPr>
      <w:tabs>
        <w:tab w:val="clear" w:pos="3600"/>
        <w:tab w:val="clear" w:pos="3958"/>
      </w:tabs>
      <w:jc w:val="right"/>
    </w:pPr>
  </w:style>
  <w:style w:type="paragraph" w:styleId="Caption">
    <w:name w:val="caption"/>
    <w:basedOn w:val="BodyText"/>
    <w:next w:val="Normal"/>
    <w:qFormat/>
    <w:rsid w:val="00B87A89"/>
    <w:pPr>
      <w:framePr w:w="2268" w:hSpace="181" w:vSpace="181" w:wrap="around" w:vAnchor="text" w:hAnchor="page" w:x="1135" w:y="285" w:anchorLock="1"/>
    </w:pPr>
    <w:rPr>
      <w:i/>
    </w:rPr>
  </w:style>
  <w:style w:type="paragraph" w:customStyle="1" w:styleId="MiniTOCTitle">
    <w:name w:val="MiniTOCTitle"/>
    <w:basedOn w:val="Heading4"/>
    <w:rsid w:val="00B87A89"/>
    <w:pPr>
      <w:spacing w:before="240"/>
      <w:outlineLvl w:val="9"/>
    </w:pPr>
    <w:rPr>
      <w:noProof/>
      <w:sz w:val="24"/>
    </w:rPr>
  </w:style>
  <w:style w:type="paragraph" w:customStyle="1" w:styleId="MiniTOCItem">
    <w:name w:val="MiniTOCItem"/>
    <w:basedOn w:val="ListBullet"/>
    <w:rsid w:val="00B87A89"/>
    <w:pPr>
      <w:numPr>
        <w:numId w:val="0"/>
      </w:numPr>
      <w:tabs>
        <w:tab w:val="right" w:leader="dot" w:pos="6521"/>
      </w:tabs>
      <w:spacing w:before="0" w:after="0"/>
    </w:pPr>
  </w:style>
  <w:style w:type="paragraph" w:customStyle="1" w:styleId="TOFTitle">
    <w:name w:val="TOFTitle"/>
    <w:basedOn w:val="TOCTitle"/>
    <w:rsid w:val="00B87A89"/>
  </w:style>
  <w:style w:type="paragraph" w:styleId="TableofFigures">
    <w:name w:val="table of figures"/>
    <w:basedOn w:val="Normal"/>
    <w:next w:val="Normal"/>
    <w:semiHidden/>
    <w:rsid w:val="00B87A89"/>
    <w:pPr>
      <w:tabs>
        <w:tab w:val="right" w:leader="dot" w:pos="9072"/>
      </w:tabs>
      <w:ind w:left="970" w:hanging="403"/>
    </w:pPr>
    <w:rPr>
      <w:rFonts w:ascii="Times New Roman" w:hAnsi="Times New Roman"/>
      <w:b/>
    </w:rPr>
  </w:style>
  <w:style w:type="paragraph" w:styleId="ListNumber">
    <w:name w:val="List Number"/>
    <w:basedOn w:val="List"/>
    <w:rsid w:val="00B87A89"/>
    <w:pPr>
      <w:numPr>
        <w:numId w:val="11"/>
      </w:numPr>
    </w:pPr>
  </w:style>
  <w:style w:type="character" w:customStyle="1" w:styleId="WingdingSymbols">
    <w:name w:val="Wingding Symbols"/>
    <w:rsid w:val="00B87A89"/>
    <w:rPr>
      <w:rFonts w:ascii="Wingdings" w:hAnsi="Wingdings"/>
    </w:rPr>
  </w:style>
  <w:style w:type="paragraph" w:customStyle="1" w:styleId="TableHeading">
    <w:name w:val="Table Heading"/>
    <w:basedOn w:val="HeadingBase"/>
    <w:rsid w:val="00B87A89"/>
    <w:pPr>
      <w:keepLines/>
      <w:pBdr>
        <w:bottom w:val="single" w:sz="6" w:space="1" w:color="918585"/>
      </w:pBdr>
      <w:spacing w:before="240"/>
    </w:pPr>
  </w:style>
  <w:style w:type="character" w:customStyle="1" w:styleId="HotSpot">
    <w:name w:val="HotSpot"/>
    <w:rsid w:val="00B87A89"/>
    <w:rPr>
      <w:color w:val="0033CC"/>
      <w:u w:val="none"/>
    </w:rPr>
  </w:style>
  <w:style w:type="paragraph" w:customStyle="1" w:styleId="BodyTextRight">
    <w:name w:val="Body Text Right"/>
    <w:basedOn w:val="BodyText"/>
    <w:rsid w:val="00B87A89"/>
    <w:pPr>
      <w:spacing w:before="0" w:after="0"/>
      <w:jc w:val="right"/>
    </w:pPr>
  </w:style>
  <w:style w:type="paragraph" w:styleId="Index3">
    <w:name w:val="index 3"/>
    <w:basedOn w:val="ListNumber2"/>
    <w:next w:val="Normal"/>
    <w:semiHidden/>
    <w:rsid w:val="00B87A89"/>
    <w:pPr>
      <w:numPr>
        <w:numId w:val="0"/>
      </w:numPr>
      <w:tabs>
        <w:tab w:val="right" w:leader="dot" w:pos="4176"/>
      </w:tabs>
    </w:pPr>
  </w:style>
  <w:style w:type="paragraph" w:styleId="ListNumber2">
    <w:name w:val="List Number 2"/>
    <w:basedOn w:val="List2"/>
    <w:rsid w:val="00B87A89"/>
    <w:pPr>
      <w:numPr>
        <w:numId w:val="10"/>
      </w:numPr>
      <w:tabs>
        <w:tab w:val="clear" w:pos="1060"/>
      </w:tabs>
    </w:pPr>
  </w:style>
  <w:style w:type="paragraph" w:customStyle="1" w:styleId="MarginNote">
    <w:name w:val="Margin Note"/>
    <w:basedOn w:val="BodyText"/>
    <w:rsid w:val="00B87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A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7A89"/>
    <w:rPr>
      <w:sz w:val="32"/>
    </w:rPr>
  </w:style>
  <w:style w:type="paragraph" w:customStyle="1" w:styleId="HeadingProcedure">
    <w:name w:val="Heading Procedure"/>
    <w:basedOn w:val="HeadingBase"/>
    <w:next w:val="Normal"/>
    <w:rsid w:val="00B87A89"/>
    <w:pPr>
      <w:tabs>
        <w:tab w:val="left" w:pos="0"/>
      </w:tabs>
      <w:spacing w:before="120" w:after="60"/>
    </w:pPr>
    <w:rPr>
      <w:i/>
      <w:color w:val="918585"/>
      <w:sz w:val="22"/>
    </w:rPr>
  </w:style>
  <w:style w:type="paragraph" w:customStyle="1" w:styleId="TableBodyText">
    <w:name w:val="Table Body Text"/>
    <w:basedOn w:val="BodyText"/>
    <w:rsid w:val="00B87A89"/>
    <w:pPr>
      <w:spacing w:before="60" w:after="60"/>
    </w:pPr>
  </w:style>
  <w:style w:type="paragraph" w:styleId="ListContinue">
    <w:name w:val="List Continue"/>
    <w:basedOn w:val="List"/>
    <w:rsid w:val="00B87A89"/>
    <w:pPr>
      <w:ind w:firstLine="0"/>
    </w:pPr>
  </w:style>
  <w:style w:type="paragraph" w:customStyle="1" w:styleId="ListNote">
    <w:name w:val="List Note"/>
    <w:basedOn w:val="List"/>
    <w:rsid w:val="00B87A89"/>
    <w:pPr>
      <w:pBdr>
        <w:top w:val="single" w:sz="6" w:space="2" w:color="918585"/>
        <w:bottom w:val="single" w:sz="6" w:space="2" w:color="918585"/>
      </w:pBdr>
      <w:tabs>
        <w:tab w:val="left" w:pos="1021"/>
      </w:tabs>
      <w:ind w:firstLine="0"/>
    </w:pPr>
  </w:style>
  <w:style w:type="paragraph" w:customStyle="1" w:styleId="Warning">
    <w:name w:val="Warning"/>
    <w:basedOn w:val="BodyText"/>
    <w:rsid w:val="00B87A89"/>
    <w:pPr>
      <w:shd w:val="clear" w:color="auto" w:fill="D9D9D9"/>
      <w:tabs>
        <w:tab w:val="left" w:pos="992"/>
      </w:tabs>
      <w:ind w:left="119" w:right="119"/>
    </w:pPr>
    <w:rPr>
      <w:sz w:val="20"/>
    </w:rPr>
  </w:style>
  <w:style w:type="paragraph" w:customStyle="1" w:styleId="MarginIcons">
    <w:name w:val="Margin Icons"/>
    <w:basedOn w:val="BodyText"/>
    <w:rsid w:val="00B87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A89"/>
    <w:rPr>
      <w:rFonts w:ascii="Courier New" w:hAnsi="Courier New"/>
    </w:rPr>
  </w:style>
  <w:style w:type="paragraph" w:customStyle="1" w:styleId="NoteBullet">
    <w:name w:val="Note Bullet"/>
    <w:basedOn w:val="Note"/>
    <w:rsid w:val="00B87A89"/>
    <w:pPr>
      <w:tabs>
        <w:tab w:val="clear" w:pos="680"/>
      </w:tabs>
      <w:spacing w:before="60" w:after="60"/>
    </w:pPr>
  </w:style>
  <w:style w:type="paragraph" w:customStyle="1" w:styleId="SubHeading2">
    <w:name w:val="SubHeading2"/>
    <w:basedOn w:val="HeadingBase"/>
    <w:rsid w:val="00B87A89"/>
    <w:pPr>
      <w:spacing w:before="240" w:after="60"/>
    </w:pPr>
    <w:rPr>
      <w:sz w:val="20"/>
    </w:rPr>
  </w:style>
  <w:style w:type="paragraph" w:customStyle="1" w:styleId="SubHeading1">
    <w:name w:val="SubHeading1"/>
    <w:basedOn w:val="HeadingBase"/>
    <w:rsid w:val="00B87A89"/>
    <w:pPr>
      <w:spacing w:before="240" w:after="60"/>
    </w:pPr>
    <w:rPr>
      <w:color w:val="918585"/>
      <w:sz w:val="22"/>
    </w:rPr>
  </w:style>
  <w:style w:type="paragraph" w:customStyle="1" w:styleId="SideHeading">
    <w:name w:val="Side Heading"/>
    <w:basedOn w:val="HeadingBase"/>
    <w:rsid w:val="00B87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A89"/>
    <w:pPr>
      <w:numPr>
        <w:numId w:val="12"/>
      </w:numPr>
    </w:pPr>
  </w:style>
  <w:style w:type="paragraph" w:styleId="PlainText">
    <w:name w:val="Plain Text"/>
    <w:basedOn w:val="Normal"/>
    <w:link w:val="PlainTextChar"/>
    <w:rsid w:val="00B87A89"/>
    <w:rPr>
      <w:sz w:val="20"/>
    </w:rPr>
  </w:style>
  <w:style w:type="character" w:customStyle="1" w:styleId="PlainTextChar">
    <w:name w:val="Plain Text Char"/>
    <w:basedOn w:val="DefaultParagraphFont"/>
    <w:link w:val="PlainText"/>
    <w:rsid w:val="00B87A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7A89"/>
    <w:rPr>
      <w:b/>
      <w:smallCaps/>
    </w:rPr>
  </w:style>
  <w:style w:type="paragraph" w:customStyle="1" w:styleId="TableListNumber">
    <w:name w:val="Table List Number"/>
    <w:basedOn w:val="ListNumber"/>
    <w:rsid w:val="00B87A89"/>
    <w:pPr>
      <w:numPr>
        <w:numId w:val="0"/>
      </w:numPr>
    </w:pPr>
  </w:style>
  <w:style w:type="paragraph" w:styleId="TOC4">
    <w:name w:val="toc 4"/>
    <w:basedOn w:val="TOCBase"/>
    <w:next w:val="Normal"/>
    <w:semiHidden/>
    <w:rsid w:val="00B87A89"/>
    <w:pPr>
      <w:tabs>
        <w:tab w:val="right" w:leader="dot" w:pos="9071"/>
      </w:tabs>
      <w:ind w:left="1701"/>
    </w:pPr>
  </w:style>
  <w:style w:type="paragraph" w:customStyle="1" w:styleId="ListAlpha">
    <w:name w:val="List Alpha"/>
    <w:basedOn w:val="List"/>
    <w:rsid w:val="00B87A89"/>
    <w:pPr>
      <w:numPr>
        <w:numId w:val="9"/>
      </w:numPr>
    </w:pPr>
  </w:style>
  <w:style w:type="paragraph" w:customStyle="1" w:styleId="ListAlpha2">
    <w:name w:val="List Alpha 2"/>
    <w:basedOn w:val="List2"/>
    <w:rsid w:val="00B87A89"/>
    <w:pPr>
      <w:numPr>
        <w:numId w:val="8"/>
      </w:numPr>
    </w:pPr>
  </w:style>
  <w:style w:type="paragraph" w:styleId="List3">
    <w:name w:val="List 3"/>
    <w:basedOn w:val="BodyText"/>
    <w:rsid w:val="00B87A89"/>
    <w:pPr>
      <w:tabs>
        <w:tab w:val="left" w:pos="1021"/>
      </w:tabs>
      <w:spacing w:before="60" w:after="60"/>
      <w:ind w:left="1020" w:hanging="340"/>
    </w:pPr>
  </w:style>
  <w:style w:type="paragraph" w:styleId="List4">
    <w:name w:val="List 4"/>
    <w:basedOn w:val="BodyText"/>
    <w:rsid w:val="00B87A89"/>
    <w:pPr>
      <w:tabs>
        <w:tab w:val="left" w:pos="1361"/>
      </w:tabs>
      <w:spacing w:before="60" w:after="60"/>
      <w:ind w:left="1361" w:hanging="340"/>
    </w:pPr>
  </w:style>
  <w:style w:type="paragraph" w:styleId="List5">
    <w:name w:val="List 5"/>
    <w:basedOn w:val="BodyText"/>
    <w:rsid w:val="00B87A89"/>
    <w:pPr>
      <w:tabs>
        <w:tab w:val="left" w:pos="1701"/>
      </w:tabs>
      <w:spacing w:before="60" w:after="60"/>
      <w:ind w:left="1701" w:hanging="340"/>
    </w:pPr>
  </w:style>
  <w:style w:type="paragraph" w:styleId="ListBullet3">
    <w:name w:val="List Bullet 3"/>
    <w:basedOn w:val="List3"/>
    <w:rsid w:val="00B87A89"/>
    <w:pPr>
      <w:numPr>
        <w:numId w:val="15"/>
      </w:numPr>
      <w:tabs>
        <w:tab w:val="clear" w:pos="1021"/>
      </w:tabs>
      <w:ind w:left="1037" w:hanging="357"/>
    </w:pPr>
  </w:style>
  <w:style w:type="paragraph" w:styleId="ListBullet4">
    <w:name w:val="List Bullet 4"/>
    <w:basedOn w:val="List4"/>
    <w:rsid w:val="00B87A89"/>
    <w:pPr>
      <w:numPr>
        <w:numId w:val="3"/>
      </w:numPr>
    </w:pPr>
  </w:style>
  <w:style w:type="paragraph" w:styleId="ListBullet5">
    <w:name w:val="List Bullet 5"/>
    <w:basedOn w:val="List5"/>
    <w:rsid w:val="00B87A89"/>
    <w:pPr>
      <w:numPr>
        <w:numId w:val="4"/>
      </w:numPr>
    </w:pPr>
  </w:style>
  <w:style w:type="paragraph" w:styleId="ListContinue2">
    <w:name w:val="List Continue 2"/>
    <w:basedOn w:val="List2"/>
    <w:rsid w:val="00B87A89"/>
    <w:pPr>
      <w:ind w:firstLine="0"/>
    </w:pPr>
  </w:style>
  <w:style w:type="paragraph" w:styleId="ListContinue3">
    <w:name w:val="List Continue 3"/>
    <w:basedOn w:val="List3"/>
    <w:rsid w:val="00B87A89"/>
    <w:pPr>
      <w:ind w:left="1021" w:firstLine="0"/>
    </w:pPr>
  </w:style>
  <w:style w:type="paragraph" w:styleId="ListContinue4">
    <w:name w:val="List Continue 4"/>
    <w:basedOn w:val="List4"/>
    <w:rsid w:val="00B87A89"/>
    <w:pPr>
      <w:ind w:firstLine="0"/>
    </w:pPr>
  </w:style>
  <w:style w:type="paragraph" w:styleId="ListContinue5">
    <w:name w:val="List Continue 5"/>
    <w:basedOn w:val="List5"/>
    <w:rsid w:val="00B87A89"/>
    <w:pPr>
      <w:ind w:firstLine="0"/>
    </w:pPr>
  </w:style>
  <w:style w:type="paragraph" w:styleId="ListNumber3">
    <w:name w:val="List Number 3"/>
    <w:basedOn w:val="List3"/>
    <w:rsid w:val="00B87A89"/>
    <w:pPr>
      <w:numPr>
        <w:numId w:val="5"/>
      </w:numPr>
    </w:pPr>
  </w:style>
  <w:style w:type="paragraph" w:styleId="ListNumber4">
    <w:name w:val="List Number 4"/>
    <w:basedOn w:val="List4"/>
    <w:rsid w:val="00B87A89"/>
    <w:pPr>
      <w:numPr>
        <w:numId w:val="6"/>
      </w:numPr>
    </w:pPr>
  </w:style>
  <w:style w:type="paragraph" w:styleId="ListNumber5">
    <w:name w:val="List Number 5"/>
    <w:basedOn w:val="List5"/>
    <w:rsid w:val="00B87A89"/>
    <w:pPr>
      <w:numPr>
        <w:numId w:val="7"/>
      </w:numPr>
    </w:pPr>
  </w:style>
  <w:style w:type="paragraph" w:styleId="BlockText">
    <w:name w:val="Block Text"/>
    <w:basedOn w:val="Normal"/>
    <w:rsid w:val="00B87A89"/>
    <w:pPr>
      <w:spacing w:after="120"/>
      <w:ind w:left="1440" w:right="1440"/>
    </w:pPr>
  </w:style>
  <w:style w:type="character" w:customStyle="1" w:styleId="Subscript">
    <w:name w:val="Subscript"/>
    <w:basedOn w:val="DefaultParagraphFont"/>
    <w:rsid w:val="00B87A89"/>
    <w:rPr>
      <w:sz w:val="16"/>
      <w:vertAlign w:val="subscript"/>
    </w:rPr>
  </w:style>
  <w:style w:type="character" w:customStyle="1" w:styleId="Superscript">
    <w:name w:val="Superscript"/>
    <w:basedOn w:val="DefaultParagraphFont"/>
    <w:rsid w:val="00B87A89"/>
    <w:rPr>
      <w:sz w:val="16"/>
      <w:vertAlign w:val="superscript"/>
    </w:rPr>
  </w:style>
  <w:style w:type="character" w:customStyle="1" w:styleId="Symbols">
    <w:name w:val="Symbols"/>
    <w:basedOn w:val="DefaultParagraphFont"/>
    <w:rsid w:val="00B87A89"/>
    <w:rPr>
      <w:rFonts w:ascii="Symbol" w:hAnsi="Symbol"/>
    </w:rPr>
  </w:style>
  <w:style w:type="character" w:customStyle="1" w:styleId="MenuOptions">
    <w:name w:val="Menu Options"/>
    <w:basedOn w:val="DefaultParagraphFont"/>
    <w:rsid w:val="00B87A89"/>
    <w:rPr>
      <w:rFonts w:ascii="Arial Narrow" w:hAnsi="Arial Narrow"/>
      <w:smallCaps/>
    </w:rPr>
  </w:style>
  <w:style w:type="character" w:customStyle="1" w:styleId="Buttons">
    <w:name w:val="Buttons"/>
    <w:basedOn w:val="DefaultParagraphFont"/>
    <w:rsid w:val="00B87A89"/>
    <w:rPr>
      <w:b/>
    </w:rPr>
  </w:style>
  <w:style w:type="character" w:customStyle="1" w:styleId="Underlined">
    <w:name w:val="Underlined"/>
    <w:basedOn w:val="DefaultParagraphFont"/>
    <w:rsid w:val="00B87A89"/>
    <w:rPr>
      <w:u w:val="single"/>
    </w:rPr>
  </w:style>
  <w:style w:type="paragraph" w:customStyle="1" w:styleId="TableBodyTextRight">
    <w:name w:val="Table Body Text Right"/>
    <w:basedOn w:val="TableBodyText"/>
    <w:rsid w:val="00B87A89"/>
    <w:pPr>
      <w:widowControl w:val="0"/>
      <w:autoSpaceDE w:val="0"/>
      <w:autoSpaceDN w:val="0"/>
      <w:adjustRightInd w:val="0"/>
      <w:jc w:val="right"/>
    </w:pPr>
    <w:rPr>
      <w:rFonts w:cs="Arial"/>
      <w:szCs w:val="18"/>
    </w:rPr>
  </w:style>
  <w:style w:type="paragraph" w:customStyle="1" w:styleId="CopyrightText">
    <w:name w:val="Copyright Text"/>
    <w:basedOn w:val="BodyText"/>
    <w:rsid w:val="00B87A89"/>
    <w:rPr>
      <w:sz w:val="18"/>
    </w:rPr>
  </w:style>
  <w:style w:type="paragraph" w:customStyle="1" w:styleId="BodySmallRight">
    <w:name w:val="Body Small Right"/>
    <w:basedOn w:val="BodyTextRight"/>
    <w:rsid w:val="00B87A89"/>
    <w:rPr>
      <w:sz w:val="18"/>
      <w:szCs w:val="18"/>
    </w:rPr>
  </w:style>
  <w:style w:type="paragraph" w:customStyle="1" w:styleId="MarginEdition">
    <w:name w:val="Margin Edition"/>
    <w:basedOn w:val="MarginNote"/>
    <w:rsid w:val="00B87A89"/>
    <w:pPr>
      <w:spacing w:before="0" w:after="0"/>
    </w:pPr>
    <w:rPr>
      <w:rFonts w:ascii="Times New Roman" w:hAnsi="Times New Roman"/>
      <w:color w:val="999999"/>
    </w:rPr>
  </w:style>
  <w:style w:type="paragraph" w:customStyle="1" w:styleId="Spacer">
    <w:name w:val="Spacer"/>
    <w:basedOn w:val="Normal"/>
    <w:rsid w:val="00B87A89"/>
    <w:rPr>
      <w:sz w:val="2"/>
      <w:szCs w:val="2"/>
    </w:rPr>
  </w:style>
  <w:style w:type="character" w:customStyle="1" w:styleId="Small">
    <w:name w:val="Small"/>
    <w:basedOn w:val="DefaultParagraphFont"/>
    <w:rsid w:val="00B87A89"/>
    <w:rPr>
      <w:sz w:val="16"/>
    </w:rPr>
  </w:style>
  <w:style w:type="paragraph" w:customStyle="1" w:styleId="WideTable">
    <w:name w:val="Wide Table"/>
    <w:basedOn w:val="Normal"/>
    <w:rsid w:val="00B87A89"/>
    <w:pPr>
      <w:ind w:left="-1418"/>
    </w:pPr>
    <w:rPr>
      <w:sz w:val="2"/>
      <w:szCs w:val="2"/>
    </w:rPr>
  </w:style>
  <w:style w:type="character" w:styleId="PageNumber">
    <w:name w:val="page number"/>
    <w:basedOn w:val="DefaultParagraphFont"/>
    <w:rsid w:val="00B87A89"/>
  </w:style>
  <w:style w:type="paragraph" w:styleId="Quote">
    <w:name w:val="Quote"/>
    <w:basedOn w:val="Heading1"/>
    <w:link w:val="QuoteChar"/>
    <w:qFormat/>
    <w:rsid w:val="00B87A89"/>
    <w:rPr>
      <w:b w:val="0"/>
      <w:sz w:val="72"/>
      <w:szCs w:val="72"/>
      <w:lang w:val="en-NZ"/>
    </w:rPr>
  </w:style>
  <w:style w:type="character" w:customStyle="1" w:styleId="QuoteChar">
    <w:name w:val="Quote Char"/>
    <w:basedOn w:val="DefaultParagraphFont"/>
    <w:link w:val="Quote"/>
    <w:rsid w:val="00B87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A89"/>
    <w:pPr>
      <w:pageBreakBefore/>
    </w:pPr>
  </w:style>
  <w:style w:type="paragraph" w:customStyle="1" w:styleId="Border">
    <w:name w:val="Border"/>
    <w:basedOn w:val="Normal"/>
    <w:qFormat/>
    <w:rsid w:val="00B87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A89"/>
    <w:rPr>
      <w:b/>
      <w:bCs/>
      <w:i/>
      <w:iCs/>
      <w:color w:val="auto"/>
    </w:rPr>
  </w:style>
  <w:style w:type="paragraph" w:styleId="IntenseQuote">
    <w:name w:val="Intense Quote"/>
    <w:basedOn w:val="Normal"/>
    <w:next w:val="Normal"/>
    <w:link w:val="IntenseQuoteChar"/>
    <w:uiPriority w:val="30"/>
    <w:qFormat/>
    <w:rsid w:val="00B87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A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7A89"/>
    <w:rPr>
      <w:smallCaps/>
      <w:color w:val="auto"/>
      <w:u w:val="single"/>
    </w:rPr>
  </w:style>
  <w:style w:type="character" w:styleId="IntenseReference">
    <w:name w:val="Intense Reference"/>
    <w:basedOn w:val="DefaultParagraphFont"/>
    <w:uiPriority w:val="32"/>
    <w:qFormat/>
    <w:rsid w:val="00B87A89"/>
    <w:rPr>
      <w:b/>
      <w:bCs/>
      <w:smallCaps/>
      <w:color w:val="auto"/>
      <w:spacing w:val="5"/>
      <w:u w:val="single"/>
    </w:rPr>
  </w:style>
  <w:style w:type="paragraph" w:customStyle="1" w:styleId="2ColumnHeading">
    <w:name w:val="2Column Heading"/>
    <w:basedOn w:val="BodyText"/>
    <w:qFormat/>
    <w:rsid w:val="00B87A89"/>
    <w:pPr>
      <w:spacing w:after="60"/>
      <w:ind w:left="-2268"/>
    </w:pPr>
    <w:rPr>
      <w:b/>
    </w:rPr>
  </w:style>
  <w:style w:type="paragraph" w:customStyle="1" w:styleId="Heading1TOC">
    <w:name w:val="Heading1 TOC"/>
    <w:basedOn w:val="Normal"/>
    <w:qFormat/>
    <w:rsid w:val="00B87A89"/>
    <w:pPr>
      <w:spacing w:before="240" w:after="120"/>
    </w:pPr>
    <w:rPr>
      <w:rFonts w:ascii="Times New Roman" w:hAnsi="Times New Roman"/>
      <w:b/>
      <w:sz w:val="32"/>
    </w:rPr>
  </w:style>
  <w:style w:type="paragraph" w:customStyle="1" w:styleId="Heading2TOC">
    <w:name w:val="Heading2 TOC"/>
    <w:basedOn w:val="Normal"/>
    <w:qFormat/>
    <w:rsid w:val="00B87A89"/>
    <w:pPr>
      <w:spacing w:before="240" w:after="60"/>
    </w:pPr>
    <w:rPr>
      <w:rFonts w:ascii="Times New Roman" w:hAnsi="Times New Roman"/>
      <w:b/>
      <w:sz w:val="28"/>
    </w:rPr>
  </w:style>
  <w:style w:type="character" w:customStyle="1" w:styleId="Underline">
    <w:name w:val="Underline"/>
    <w:basedOn w:val="DefaultParagraphFont"/>
    <w:qFormat/>
    <w:rsid w:val="00B87A89"/>
    <w:rPr>
      <w:u w:val="single"/>
    </w:rPr>
  </w:style>
  <w:style w:type="character" w:customStyle="1" w:styleId="BoldandItalics">
    <w:name w:val="Bold and Italics"/>
    <w:qFormat/>
    <w:rsid w:val="00B87A89"/>
    <w:rPr>
      <w:b/>
      <w:i/>
      <w:u w:val="none"/>
    </w:rPr>
  </w:style>
  <w:style w:type="paragraph" w:styleId="BalloonText">
    <w:name w:val="Balloon Text"/>
    <w:basedOn w:val="Normal"/>
    <w:link w:val="BalloonTextChar"/>
    <w:rsid w:val="00B87A89"/>
    <w:rPr>
      <w:rFonts w:ascii="Tahoma" w:hAnsi="Tahoma" w:cs="Tahoma"/>
      <w:sz w:val="16"/>
      <w:szCs w:val="16"/>
    </w:rPr>
  </w:style>
  <w:style w:type="character" w:customStyle="1" w:styleId="BalloonTextChar">
    <w:name w:val="Balloon Text Char"/>
    <w:basedOn w:val="DefaultParagraphFont"/>
    <w:link w:val="BalloonText"/>
    <w:rsid w:val="00B87A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7A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7A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7865</Characters>
  <Application>Microsoft Office Word</Application>
  <DocSecurity>0</DocSecurity>
  <Lines>285</Lines>
  <Paragraphs>144</Paragraphs>
  <ScaleCrop>false</ScaleCrop>
  <Company>Author-it Software Corporation Ltd.</Company>
  <LinksUpToDate>false</LinksUpToDate>
  <CharactersWithSpaces>9019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MSL933003A Apply critical control point requirements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2012-05-26T18:33:00Z</dcterms:created>
  <dcterms:modified xsi:type="dcterms:W3CDTF">2012-05-26T18:33:00Z</dcterms:modified>
</cp:coreProperties>
</file>