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696" w:rsidP="00337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MSLSS00004 Point of care testing using capillary blood specimens</w:t>
      </w:r>
      <w:r>
        <w:fldChar w:fldCharType="end"/>
      </w:r>
    </w:p>
    <w:p w:rsidR="00337696" w:rsidP="00337696">
      <w:pPr>
        <w:pStyle w:val="Version"/>
        <w:sectPr w:rsidSect="004E4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4ADC" w:rsidP="004E4ADC">
      <w:pPr>
        <w:pStyle w:val="SuperHeading"/>
      </w:pPr>
      <w:r w:rsidRPr="004E4ADC">
        <w:t>MSLSS00004 Point of care testing using capillary blood specimens</w:t>
      </w:r>
    </w:p>
    <w:p w:rsidR="00000000" w:rsidRPr="004E4ADC" w:rsidP="004E4ADC">
      <w:pPr>
        <w:pStyle w:val="Heading1"/>
      </w:pPr>
      <w:bookmarkStart w:id="1" w:name="O_1258598"/>
      <w:bookmarkEnd w:id="1"/>
      <w:r w:rsidRPr="004E4ADC">
        <w:t>Modification History</w:t>
      </w:r>
    </w:p>
    <w:p w:rsidR="00000000" w:rsidRPr="004E4ADC" w:rsidP="00337696">
      <w:pPr>
        <w:pStyle w:val="BodyText"/>
      </w:pPr>
      <w:r w:rsidRPr="004E4ADC">
        <w:t xml:space="preserve">Supersedes and is not equivalent to MSLSS00002 Point of care testing using capillary blood specimens. </w:t>
      </w:r>
    </w:p>
    <w:p w:rsidR="00000000" w:rsidRPr="004E4ADC" w:rsidP="004E4ADC">
      <w:pPr>
        <w:pStyle w:val="Heading1"/>
      </w:pPr>
      <w:bookmarkStart w:id="2" w:name="O_1258599"/>
      <w:bookmarkEnd w:id="2"/>
      <w:r w:rsidRPr="004E4ADC">
        <w:t>Description</w:t>
      </w:r>
    </w:p>
    <w:p w:rsidR="00000000" w:rsidRPr="004E4ADC" w:rsidP="00337696">
      <w:pPr>
        <w:pStyle w:val="BodyText"/>
      </w:pPr>
      <w:r w:rsidRPr="004E4ADC">
        <w:t xml:space="preserve">This skill set reflects the skill requirements to collect and analyse capillary blood specimens using a point of care testing (PoCT) device. In the workplace, collecting capillary blood specimens and using a PoCT device are two parts of an integrated work </w:t>
      </w:r>
      <w:r w:rsidRPr="004E4ADC">
        <w:t>function.</w:t>
      </w:r>
    </w:p>
    <w:p w:rsidR="00000000" w:rsidRPr="004E4ADC" w:rsidP="004E4ADC">
      <w:pPr>
        <w:pStyle w:val="Heading1"/>
      </w:pPr>
      <w:bookmarkStart w:id="3" w:name="O_1258600"/>
      <w:bookmarkEnd w:id="3"/>
      <w:r w:rsidRPr="004E4ADC">
        <w:t>Pathways Information</w:t>
      </w:r>
    </w:p>
    <w:p w:rsidR="00000000" w:rsidRPr="004E4ADC" w:rsidP="00337696">
      <w:pPr>
        <w:pStyle w:val="BodyText"/>
      </w:pPr>
      <w:r w:rsidRPr="004E4ADC">
        <w:t>These units provide credit towards a range of qualifications in the HLT Health and MSL Laboratory Operations Training Packages.</w:t>
      </w:r>
    </w:p>
    <w:p w:rsidR="00000000" w:rsidRPr="004E4ADC" w:rsidP="004E4ADC">
      <w:pPr>
        <w:pStyle w:val="Heading1"/>
      </w:pPr>
      <w:bookmarkStart w:id="4" w:name="O_1258601"/>
      <w:bookmarkEnd w:id="4"/>
      <w:r w:rsidRPr="004E4ADC">
        <w:t>Licensing/Regulatory Information</w:t>
      </w:r>
    </w:p>
    <w:p w:rsidR="00000000" w:rsidRPr="004E4ADC" w:rsidP="00337696">
      <w:pPr>
        <w:pStyle w:val="BodyText"/>
      </w:pPr>
      <w:r w:rsidRPr="004E4ADC">
        <w:t>Nil.</w:t>
      </w:r>
    </w:p>
    <w:p w:rsidR="00000000" w:rsidRPr="004E4ADC" w:rsidP="004E4ADC">
      <w:pPr>
        <w:pStyle w:val="Heading1"/>
      </w:pPr>
      <w:bookmarkStart w:id="5" w:name="O_1258602"/>
      <w:bookmarkEnd w:id="5"/>
      <w:r w:rsidRPr="004E4ADC">
        <w:t>Sk</w:t>
      </w:r>
      <w:r w:rsidRPr="004E4ADC">
        <w:t>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4E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DC">
            <w:pPr>
              <w:pStyle w:val="BodyText"/>
              <w:rPr>
                <w:lang w:val="en-NZ"/>
              </w:rPr>
            </w:pPr>
            <w:r w:rsidRPr="004E4ADC">
              <w:t>HLTPAT003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DC">
            <w:pPr>
              <w:pStyle w:val="BodyText"/>
              <w:rPr>
                <w:lang w:val="en-NZ"/>
              </w:rPr>
            </w:pPr>
            <w:r w:rsidRPr="004E4ADC">
              <w:t>Perform capillary blood collections</w:t>
            </w:r>
          </w:p>
        </w:tc>
      </w:tr>
      <w:tr w:rsidTr="004E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DC">
            <w:pPr>
              <w:pStyle w:val="BodyText"/>
              <w:rPr>
                <w:lang w:val="en-NZ"/>
              </w:rPr>
            </w:pPr>
            <w:r w:rsidRPr="004E4ADC">
              <w:t>MSL974036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DC" w:rsidP="004E4ADC">
            <w:pPr>
              <w:pStyle w:val="BodyText"/>
            </w:pPr>
            <w:r w:rsidRPr="004E4ADC">
              <w:t>Process body fluid specimens using a point of care testing device</w:t>
            </w:r>
          </w:p>
        </w:tc>
      </w:tr>
    </w:tbl>
    <w:p w:rsidR="00000000" w:rsidRPr="004E4ADC" w:rsidP="004E4ADC">
      <w:pPr>
        <w:pStyle w:val="BodyText"/>
      </w:pPr>
    </w:p>
    <w:p w:rsidR="00000000" w:rsidRPr="004E4ADC" w:rsidP="004E4ADC">
      <w:pPr>
        <w:pStyle w:val="AllowPageBreak"/>
      </w:pPr>
    </w:p>
    <w:p w:rsidR="00000000" w:rsidRPr="004E4ADC" w:rsidP="004E4ADC">
      <w:pPr>
        <w:pStyle w:val="Heading1"/>
      </w:pPr>
      <w:bookmarkStart w:id="6" w:name="O_1258603"/>
      <w:bookmarkEnd w:id="6"/>
      <w:r w:rsidRPr="004E4ADC">
        <w:t>Target Group</w:t>
      </w:r>
    </w:p>
    <w:p w:rsidR="00000000" w:rsidRPr="004E4ADC" w:rsidP="00337696">
      <w:pPr>
        <w:pStyle w:val="BodyText"/>
      </w:pPr>
      <w:r w:rsidRPr="004E4ADC">
        <w:t>This skill set is for individuals seeking skills in specimen collection and PoCT for capillary specimens only. Individuals may work in the health or laboratory operations sectors.</w:t>
      </w:r>
    </w:p>
    <w:p w:rsidR="00000000" w:rsidRPr="004E4ADC" w:rsidP="004E4ADC">
      <w:pPr>
        <w:pStyle w:val="Heading1"/>
      </w:pPr>
      <w:bookmarkStart w:id="7" w:name="O_1258604"/>
      <w:bookmarkEnd w:id="7"/>
      <w:r w:rsidRPr="004E4ADC">
        <w:t>Suggested words for Statement of Attainment</w:t>
      </w:r>
    </w:p>
    <w:p w:rsidR="00000000" w:rsidRPr="004E4ADC" w:rsidP="00337696">
      <w:pPr>
        <w:pStyle w:val="BodyText"/>
      </w:pPr>
      <w:r w:rsidRPr="004E4ADC">
        <w:t>These compete</w:t>
      </w:r>
      <w:r w:rsidRPr="004E4ADC">
        <w:t>ncies from the HLT Health Training Package and the MSL Laboratory Operations Training Package meet industry requirements for the collection and analysis of capillary blood specimens using a PoCT device.</w:t>
      </w:r>
    </w:p>
    <w:p w:rsidR="00000000" w:rsidRPr="004E4ADC" w:rsidP="004E4ADC">
      <w:pPr>
        <w:pStyle w:val="Heading1"/>
      </w:pPr>
      <w:bookmarkStart w:id="8" w:name="O_1258605"/>
      <w:bookmarkEnd w:id="8"/>
      <w:r w:rsidRPr="004E4ADC">
        <w:t>Custom Content Section</w:t>
      </w:r>
    </w:p>
    <w:p w:rsidR="00000000" w:rsidRPr="004E4ADC" w:rsidP="00337696">
      <w:pPr>
        <w:pStyle w:val="BodyText"/>
      </w:pPr>
      <w:r w:rsidRPr="004E4ADC">
        <w:t>Not applica</w:t>
      </w:r>
      <w:r w:rsidRPr="004E4ADC">
        <w:t>ble.</w:t>
      </w:r>
    </w:p>
    <w:p w:rsidR="00000000" w:rsidRPr="004E4ADC" w:rsidP="004E4ADC"/>
    <w:sectPr w:rsidSect="004E4A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DC" w:rsidRPr="00337696" w:rsidP="00337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96" w:rsidP="004E4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37696" w:rsidP="004E4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7696" w:rsidP="004E4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ADC" w:rsidRPr="00337696" w:rsidP="00337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96" w:rsidRPr="002D2AF8" w:rsidP="004E4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MSLSS00004 Point of care testing using capillary blood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37696" w:rsidP="004E4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ADC"/>
  </w:style>
  <w:style w:type="character" w:customStyle="1" w:styleId="Heading1Char">
    <w:name w:val="Heading 1 Char"/>
    <w:basedOn w:val="DefaultParagraphFont"/>
    <w:link w:val="Heading1"/>
    <w:rsid w:val="004E4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A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4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A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4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ADC"/>
    <w:rPr>
      <w:b/>
      <w:spacing w:val="0"/>
    </w:rPr>
  </w:style>
  <w:style w:type="paragraph" w:customStyle="1" w:styleId="SuperTitle">
    <w:name w:val="SuperTitle"/>
    <w:basedOn w:val="Title"/>
    <w:rsid w:val="004E4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A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ADC"/>
    <w:rPr>
      <w:i/>
    </w:rPr>
  </w:style>
  <w:style w:type="paragraph" w:styleId="Caption">
    <w:name w:val="caption"/>
    <w:basedOn w:val="BodyText"/>
    <w:next w:val="Normal"/>
    <w:qFormat/>
    <w:rsid w:val="004E4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ADC"/>
  </w:style>
  <w:style w:type="paragraph" w:styleId="TableofFigures">
    <w:name w:val="table of figures"/>
    <w:basedOn w:val="Normal"/>
    <w:next w:val="Normal"/>
    <w:semiHidden/>
    <w:rsid w:val="004E4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A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4ADC"/>
    <w:rPr>
      <w:rFonts w:ascii="Wingdings" w:hAnsi="Wingdings"/>
    </w:rPr>
  </w:style>
  <w:style w:type="paragraph" w:customStyle="1" w:styleId="TableHeading">
    <w:name w:val="Table Heading"/>
    <w:basedOn w:val="HeadingBase"/>
    <w:rsid w:val="004E4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ADC"/>
    <w:rPr>
      <w:color w:val="0033CC"/>
      <w:u w:val="none"/>
    </w:rPr>
  </w:style>
  <w:style w:type="paragraph" w:customStyle="1" w:styleId="BodyTextRight">
    <w:name w:val="Body Text Right"/>
    <w:basedOn w:val="BodyText"/>
    <w:rsid w:val="004E4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A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ADC"/>
    <w:rPr>
      <w:sz w:val="32"/>
    </w:rPr>
  </w:style>
  <w:style w:type="paragraph" w:customStyle="1" w:styleId="HeadingProcedure">
    <w:name w:val="Heading Procedure"/>
    <w:basedOn w:val="HeadingBase"/>
    <w:next w:val="Normal"/>
    <w:rsid w:val="004E4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ADC"/>
    <w:pPr>
      <w:spacing w:before="60" w:after="60"/>
    </w:pPr>
  </w:style>
  <w:style w:type="paragraph" w:styleId="ListContinue">
    <w:name w:val="List Continue"/>
    <w:basedOn w:val="List"/>
    <w:rsid w:val="004E4ADC"/>
    <w:pPr>
      <w:ind w:firstLine="0"/>
    </w:pPr>
  </w:style>
  <w:style w:type="paragraph" w:customStyle="1" w:styleId="ListNote">
    <w:name w:val="List Note"/>
    <w:basedOn w:val="List"/>
    <w:rsid w:val="004E4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ADC"/>
    <w:rPr>
      <w:rFonts w:ascii="Courier New" w:hAnsi="Courier New"/>
    </w:rPr>
  </w:style>
  <w:style w:type="paragraph" w:customStyle="1" w:styleId="NoteBullet">
    <w:name w:val="Note Bullet"/>
    <w:basedOn w:val="Note"/>
    <w:rsid w:val="004E4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A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4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ADC"/>
    <w:rPr>
      <w:b/>
      <w:smallCaps/>
    </w:rPr>
  </w:style>
  <w:style w:type="paragraph" w:customStyle="1" w:styleId="TableListNumber">
    <w:name w:val="Table List Number"/>
    <w:basedOn w:val="ListNumber"/>
    <w:rsid w:val="004E4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ADC"/>
    <w:pPr>
      <w:numPr>
        <w:numId w:val="7"/>
      </w:numPr>
    </w:pPr>
  </w:style>
  <w:style w:type="paragraph" w:customStyle="1" w:styleId="ListAlpha2">
    <w:name w:val="List Alpha 2"/>
    <w:basedOn w:val="List2"/>
    <w:rsid w:val="004E4ADC"/>
    <w:pPr>
      <w:numPr>
        <w:numId w:val="6"/>
      </w:numPr>
    </w:pPr>
  </w:style>
  <w:style w:type="paragraph" w:styleId="List2">
    <w:name w:val="List 2"/>
    <w:basedOn w:val="BodyText"/>
    <w:rsid w:val="004E4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A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A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4ADC"/>
    <w:pPr>
      <w:numPr>
        <w:numId w:val="2"/>
      </w:numPr>
    </w:pPr>
  </w:style>
  <w:style w:type="paragraph" w:styleId="ListContinue2">
    <w:name w:val="List Continue 2"/>
    <w:basedOn w:val="List2"/>
    <w:rsid w:val="004E4ADC"/>
    <w:pPr>
      <w:ind w:firstLine="0"/>
    </w:pPr>
  </w:style>
  <w:style w:type="paragraph" w:styleId="ListContinue3">
    <w:name w:val="List Continue 3"/>
    <w:basedOn w:val="List3"/>
    <w:rsid w:val="004E4ADC"/>
    <w:pPr>
      <w:ind w:left="1021" w:firstLine="0"/>
    </w:pPr>
  </w:style>
  <w:style w:type="paragraph" w:styleId="ListContinue4">
    <w:name w:val="List Continue 4"/>
    <w:basedOn w:val="List4"/>
    <w:rsid w:val="004E4ADC"/>
    <w:pPr>
      <w:ind w:firstLine="0"/>
    </w:pPr>
  </w:style>
  <w:style w:type="paragraph" w:styleId="ListContinue5">
    <w:name w:val="List Continue 5"/>
    <w:basedOn w:val="List5"/>
    <w:rsid w:val="004E4ADC"/>
    <w:pPr>
      <w:ind w:firstLine="0"/>
    </w:pPr>
  </w:style>
  <w:style w:type="paragraph" w:styleId="ListNumber3">
    <w:name w:val="List Number 3"/>
    <w:basedOn w:val="List3"/>
    <w:rsid w:val="004E4ADC"/>
    <w:pPr>
      <w:numPr>
        <w:numId w:val="3"/>
      </w:numPr>
    </w:pPr>
  </w:style>
  <w:style w:type="paragraph" w:styleId="ListNumber4">
    <w:name w:val="List Number 4"/>
    <w:basedOn w:val="List4"/>
    <w:rsid w:val="004E4ADC"/>
    <w:pPr>
      <w:numPr>
        <w:numId w:val="4"/>
      </w:numPr>
    </w:pPr>
  </w:style>
  <w:style w:type="paragraph" w:styleId="ListNumber5">
    <w:name w:val="List Number 5"/>
    <w:basedOn w:val="List5"/>
    <w:rsid w:val="004E4ADC"/>
    <w:pPr>
      <w:numPr>
        <w:numId w:val="5"/>
      </w:numPr>
    </w:pPr>
  </w:style>
  <w:style w:type="paragraph" w:styleId="BlockText">
    <w:name w:val="Block Text"/>
    <w:basedOn w:val="Normal"/>
    <w:rsid w:val="004E4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ADC"/>
    <w:rPr>
      <w:sz w:val="16"/>
      <w:vertAlign w:val="superscript"/>
    </w:rPr>
  </w:style>
  <w:style w:type="character" w:customStyle="1" w:styleId="Symbols">
    <w:name w:val="Symbols"/>
    <w:basedOn w:val="DefaultParagraphFont"/>
    <w:rsid w:val="004E4ADC"/>
    <w:rPr>
      <w:rFonts w:ascii="Symbol" w:hAnsi="Symbol"/>
    </w:rPr>
  </w:style>
  <w:style w:type="character" w:customStyle="1" w:styleId="MenuOptions">
    <w:name w:val="Menu Options"/>
    <w:basedOn w:val="DefaultParagraphFont"/>
    <w:rsid w:val="004E4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ADC"/>
    <w:rPr>
      <w:b/>
    </w:rPr>
  </w:style>
  <w:style w:type="character" w:customStyle="1" w:styleId="Underlined">
    <w:name w:val="Underlined"/>
    <w:basedOn w:val="DefaultParagraphFont"/>
    <w:rsid w:val="004E4ADC"/>
    <w:rPr>
      <w:u w:val="single"/>
    </w:rPr>
  </w:style>
  <w:style w:type="paragraph" w:customStyle="1" w:styleId="TableBodyTextRight">
    <w:name w:val="Table Body Text Right"/>
    <w:basedOn w:val="TableBodyText"/>
    <w:rsid w:val="004E4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ADC"/>
    <w:rPr>
      <w:sz w:val="18"/>
    </w:rPr>
  </w:style>
  <w:style w:type="paragraph" w:customStyle="1" w:styleId="BodySmallRight">
    <w:name w:val="Body Small Right"/>
    <w:basedOn w:val="BodyTextRight"/>
    <w:rsid w:val="004E4ADC"/>
    <w:rPr>
      <w:sz w:val="18"/>
      <w:szCs w:val="18"/>
    </w:rPr>
  </w:style>
  <w:style w:type="paragraph" w:customStyle="1" w:styleId="MarginEdition">
    <w:name w:val="Margin Edition"/>
    <w:basedOn w:val="MarginNote"/>
    <w:rsid w:val="004E4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ADC"/>
    <w:rPr>
      <w:sz w:val="2"/>
      <w:szCs w:val="2"/>
    </w:rPr>
  </w:style>
  <w:style w:type="character" w:customStyle="1" w:styleId="Small">
    <w:name w:val="Small"/>
    <w:basedOn w:val="DefaultParagraphFont"/>
    <w:rsid w:val="004E4ADC"/>
    <w:rPr>
      <w:sz w:val="16"/>
    </w:rPr>
  </w:style>
  <w:style w:type="paragraph" w:customStyle="1" w:styleId="WideTable">
    <w:name w:val="Wide Table"/>
    <w:basedOn w:val="Normal"/>
    <w:rsid w:val="004E4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ADC"/>
  </w:style>
  <w:style w:type="paragraph" w:styleId="Quote">
    <w:name w:val="Quote"/>
    <w:basedOn w:val="Heading1"/>
    <w:link w:val="QuoteChar"/>
    <w:qFormat/>
    <w:rsid w:val="004E4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ADC"/>
    <w:pPr>
      <w:pageBreakBefore/>
    </w:pPr>
  </w:style>
  <w:style w:type="paragraph" w:customStyle="1" w:styleId="Border">
    <w:name w:val="Border"/>
    <w:basedOn w:val="Normal"/>
    <w:qFormat/>
    <w:rsid w:val="004E4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ADC"/>
    <w:rPr>
      <w:u w:val="single"/>
    </w:rPr>
  </w:style>
  <w:style w:type="character" w:customStyle="1" w:styleId="BoldandItalics">
    <w:name w:val="Bold and Italics"/>
    <w:qFormat/>
    <w:rsid w:val="004E4ADC"/>
    <w:rPr>
      <w:b/>
      <w:i/>
      <w:u w:val="none"/>
    </w:rPr>
  </w:style>
  <w:style w:type="paragraph" w:styleId="BalloonText">
    <w:name w:val="Balloon Text"/>
    <w:basedOn w:val="Normal"/>
    <w:link w:val="BalloonTextChar"/>
    <w:rsid w:val="004E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ADC"/>
    <w:pPr>
      <w:spacing w:before="0" w:after="0"/>
    </w:pPr>
  </w:style>
  <w:style w:type="paragraph" w:customStyle="1" w:styleId="BodyTextBold">
    <w:name w:val="Body Text Bold"/>
    <w:basedOn w:val="BodyText"/>
    <w:qFormat/>
    <w:rsid w:val="004E4AD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1236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MSLSS00004 Point of care testing using capillary blood specimens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2022-12-20T10:52:56Z</dcterms:created>
  <dcterms:modified xsi:type="dcterms:W3CDTF">2022-12-16T01:01:00Z</dcterms:modified>
</cp:coreProperties>
</file>