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BA1" w:rsidP="00CF1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MSL977008 Develop or adapt analyses and procedures</w:t>
      </w:r>
      <w:r>
        <w:fldChar w:fldCharType="end"/>
      </w:r>
    </w:p>
    <w:p w:rsidR="00CF1BA1" w:rsidP="00CF1BA1">
      <w:pPr>
        <w:pStyle w:val="Version"/>
        <w:sectPr w:rsidSect="00F67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7D1" w:rsidP="00F677D1">
      <w:pPr>
        <w:pStyle w:val="SuperHeading"/>
      </w:pPr>
      <w:r w:rsidRPr="00F677D1">
        <w:t>Assessment Requirements for MSL977008 Develop or adapt analyses and procedures</w:t>
      </w:r>
    </w:p>
    <w:p w:rsidR="00000000" w:rsidRPr="00F677D1" w:rsidP="00F677D1">
      <w:pPr>
        <w:pStyle w:val="Heading1"/>
      </w:pPr>
      <w:bookmarkStart w:id="1" w:name="O_985357"/>
      <w:bookmarkEnd w:id="1"/>
      <w:r w:rsidRPr="00F677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9"/>
        <w:gridCol w:w="7203"/>
      </w:tblGrid>
      <w:tr w:rsidTr="00F67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77D1" w:rsidP="00F677D1">
            <w:pPr>
              <w:pStyle w:val="BodyText"/>
            </w:pPr>
            <w:r w:rsidRPr="00F677D1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77D1">
            <w:pPr>
              <w:pStyle w:val="BodyText"/>
              <w:rPr>
                <w:lang w:val="en-NZ"/>
              </w:rPr>
            </w:pPr>
            <w:r w:rsidRPr="00F677D1">
              <w:rPr>
                <w:rStyle w:val="SpecialBold"/>
              </w:rPr>
              <w:t>Comments</w:t>
            </w:r>
          </w:p>
        </w:tc>
      </w:tr>
      <w:tr w:rsidTr="00F67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7D1">
            <w:pPr>
              <w:pStyle w:val="BodyText"/>
              <w:rPr>
                <w:lang w:val="en-NZ"/>
              </w:rPr>
            </w:pPr>
            <w:r w:rsidRPr="00F677D1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7D1" w:rsidP="00F677D1">
            <w:pPr>
              <w:pStyle w:val="BodyText"/>
            </w:pPr>
            <w:r w:rsidRPr="00F677D1">
              <w:t xml:space="preserve">This version was released in </w:t>
            </w:r>
            <w:r w:rsidRPr="00F677D1">
              <w:rPr>
                <w:rStyle w:val="Emphasis"/>
              </w:rPr>
              <w:t>MSL Laboratory Operations Training Package Release 2.0.</w:t>
            </w:r>
          </w:p>
          <w:p w:rsidR="00000000" w:rsidRPr="00F677D1" w:rsidP="00F677D1">
            <w:pPr>
              <w:pStyle w:val="BodyText"/>
            </w:pPr>
          </w:p>
          <w:p w:rsidR="00000000" w:rsidRPr="00F677D1" w:rsidP="00F677D1">
            <w:pPr>
              <w:pStyle w:val="BodyText"/>
            </w:pPr>
            <w:r w:rsidRPr="00F677D1">
              <w:t>Supersedes and equivalent to MSL977004 Develop or adapt analyses and procedures. Range of conditions removed. Assessment requirements amended. Prerequisites updated. Equivalent outcome.</w:t>
            </w:r>
          </w:p>
          <w:p w:rsidR="00000000" w:rsidRPr="00F677D1" w:rsidP="00F677D1">
            <w:pPr>
              <w:pStyle w:val="BodyText"/>
            </w:pPr>
          </w:p>
        </w:tc>
      </w:tr>
    </w:tbl>
    <w:p w:rsidR="00000000" w:rsidRPr="00F677D1" w:rsidP="00F677D1">
      <w:pPr>
        <w:pStyle w:val="BodyText"/>
      </w:pPr>
    </w:p>
    <w:p w:rsidR="00000000" w:rsidRPr="00F677D1" w:rsidP="00F677D1">
      <w:pPr>
        <w:pStyle w:val="AllowPageBreak"/>
      </w:pPr>
    </w:p>
    <w:p w:rsidR="00000000" w:rsidRPr="00F677D1" w:rsidP="00F677D1">
      <w:pPr>
        <w:pStyle w:val="Heading1"/>
      </w:pPr>
      <w:bookmarkStart w:id="2" w:name="O_985360"/>
      <w:bookmarkEnd w:id="2"/>
      <w:r w:rsidRPr="00F677D1">
        <w:t>Performance Evidence</w:t>
      </w:r>
    </w:p>
    <w:p w:rsidR="00000000" w:rsidRPr="00F677D1" w:rsidP="00CF1BA1">
      <w:pPr>
        <w:pStyle w:val="BodyText"/>
      </w:pPr>
      <w:r w:rsidRPr="00F677D1">
        <w:t>There must be evidence the ca</w:t>
      </w:r>
      <w:r w:rsidRPr="00F677D1">
        <w:t>ndidate has completed the tasks outlined in the elements and performance criteria of this unit, and:</w:t>
      </w:r>
    </w:p>
    <w:p w:rsidR="00000000" w:rsidRPr="00F677D1" w:rsidP="00F677D1">
      <w:pPr>
        <w:pStyle w:val="ListBullet"/>
      </w:pPr>
      <w:r w:rsidRPr="00F677D1">
        <w:t>developed or adapted a method of analysis of an item or process, and all related methods and procedures to meet workplace and regulatory requirements, for</w:t>
      </w:r>
      <w:r w:rsidRPr="00F677D1">
        <w:t xml:space="preserve"> at least 1 of the following tests:</w:t>
      </w:r>
    </w:p>
    <w:p w:rsidR="00000000" w:rsidRPr="00F677D1" w:rsidP="00F677D1">
      <w:pPr>
        <w:pStyle w:val="ListBullet2"/>
      </w:pPr>
      <w:r w:rsidRPr="00F677D1">
        <w:t>non-instrumental methods:</w:t>
      </w:r>
    </w:p>
    <w:p w:rsidR="00000000" w:rsidRPr="00F677D1" w:rsidP="00F677D1">
      <w:pPr>
        <w:pStyle w:val="ListBullet3"/>
      </w:pPr>
      <w:r w:rsidRPr="00F677D1">
        <w:t>gravimetric test</w:t>
      </w:r>
    </w:p>
    <w:p w:rsidR="00000000" w:rsidRPr="00F677D1" w:rsidP="00F677D1">
      <w:pPr>
        <w:pStyle w:val="ListBullet3"/>
      </w:pPr>
      <w:r w:rsidRPr="00F677D1">
        <w:t>titrimetric test</w:t>
      </w:r>
    </w:p>
    <w:p w:rsidR="00000000" w:rsidRPr="00F677D1" w:rsidP="00F677D1">
      <w:pPr>
        <w:pStyle w:val="ListBullet3"/>
      </w:pPr>
      <w:r w:rsidRPr="00F677D1">
        <w:t>qualitative test</w:t>
      </w:r>
    </w:p>
    <w:p w:rsidR="00000000" w:rsidRPr="00F677D1" w:rsidP="00F677D1">
      <w:pPr>
        <w:pStyle w:val="ListBullet2"/>
      </w:pPr>
      <w:r w:rsidRPr="00F677D1">
        <w:t>spectrometric methods:</w:t>
      </w:r>
    </w:p>
    <w:p w:rsidR="00000000" w:rsidRPr="00F677D1" w:rsidP="00F677D1">
      <w:pPr>
        <w:pStyle w:val="ListBullet3"/>
      </w:pPr>
      <w:r w:rsidRPr="00F677D1">
        <w:t>ultraviolet-visible (UV-VIS)</w:t>
      </w:r>
    </w:p>
    <w:p w:rsidR="00000000" w:rsidRPr="00F677D1" w:rsidP="00F677D1">
      <w:pPr>
        <w:pStyle w:val="ListBullet3"/>
      </w:pPr>
      <w:r w:rsidRPr="00F677D1">
        <w:t>infrared (IR) (including Fourier transform infrared (FTIR))</w:t>
      </w:r>
    </w:p>
    <w:p w:rsidR="00000000" w:rsidRPr="00F677D1" w:rsidP="00F677D1">
      <w:pPr>
        <w:pStyle w:val="ListBullet3"/>
      </w:pPr>
      <w:r w:rsidRPr="00F677D1">
        <w:t>near infrared (NIR)</w:t>
      </w:r>
    </w:p>
    <w:p w:rsidR="00000000" w:rsidRPr="00F677D1" w:rsidP="00F677D1">
      <w:pPr>
        <w:pStyle w:val="ListBullet3"/>
      </w:pPr>
      <w:r w:rsidRPr="00F677D1">
        <w:t>atomic absorption (AA) and fluorescence)</w:t>
      </w:r>
    </w:p>
    <w:p w:rsidR="00000000" w:rsidRPr="00F677D1" w:rsidP="00F677D1">
      <w:pPr>
        <w:pStyle w:val="ListBullet2"/>
      </w:pPr>
      <w:r w:rsidRPr="00F677D1">
        <w:t>chromatographic methods:</w:t>
      </w:r>
    </w:p>
    <w:p w:rsidR="00000000" w:rsidRPr="00F677D1" w:rsidP="00F677D1">
      <w:pPr>
        <w:pStyle w:val="ListBullet3"/>
      </w:pPr>
      <w:r w:rsidRPr="00F677D1">
        <w:t>thin layer chromatography</w:t>
      </w:r>
    </w:p>
    <w:p w:rsidR="00000000" w:rsidRPr="00F677D1" w:rsidP="00F677D1">
      <w:pPr>
        <w:pStyle w:val="ListBullet3"/>
      </w:pPr>
      <w:r w:rsidRPr="00F677D1">
        <w:t>paper chromatography</w:t>
      </w:r>
    </w:p>
    <w:p w:rsidR="00000000" w:rsidRPr="00F677D1" w:rsidP="00F677D1">
      <w:pPr>
        <w:pStyle w:val="ListBullet3"/>
      </w:pPr>
      <w:r w:rsidRPr="00F677D1">
        <w:t>gas chromatography (GC)</w:t>
      </w:r>
    </w:p>
    <w:p w:rsidR="00000000" w:rsidRPr="00F677D1" w:rsidP="00F677D1">
      <w:pPr>
        <w:pStyle w:val="ListBullet3"/>
      </w:pPr>
      <w:r w:rsidRPr="00F677D1">
        <w:t>high performance liquid chromatography (HPLC)</w:t>
      </w:r>
    </w:p>
    <w:p w:rsidR="00000000" w:rsidRPr="00F677D1" w:rsidP="00F677D1">
      <w:pPr>
        <w:pStyle w:val="ListBullet3"/>
      </w:pPr>
      <w:r w:rsidRPr="00F677D1">
        <w:t>ion chromatography (IC)</w:t>
      </w:r>
    </w:p>
    <w:p w:rsidR="00000000" w:rsidRPr="00F677D1" w:rsidP="00F677D1">
      <w:pPr>
        <w:pStyle w:val="ListBullet3"/>
      </w:pPr>
      <w:r w:rsidRPr="00F677D1">
        <w:t>electrophoretic test</w:t>
      </w:r>
    </w:p>
    <w:p w:rsidR="00000000" w:rsidRPr="00F677D1" w:rsidP="00F677D1">
      <w:pPr>
        <w:pStyle w:val="ListBullet2"/>
      </w:pPr>
      <w:r w:rsidRPr="00F677D1">
        <w:t>electrochemical methods:</w:t>
      </w:r>
    </w:p>
    <w:p w:rsidR="00000000" w:rsidRPr="00F677D1" w:rsidP="00F677D1">
      <w:pPr>
        <w:pStyle w:val="ListBullet3"/>
      </w:pPr>
      <w:r w:rsidRPr="00F677D1">
        <w:t xml:space="preserve">ion-selective electrodes </w:t>
      </w:r>
    </w:p>
    <w:p w:rsidR="00000000" w:rsidRPr="00F677D1" w:rsidP="00F677D1">
      <w:pPr>
        <w:pStyle w:val="ListBullet3"/>
      </w:pPr>
      <w:r w:rsidRPr="00F677D1">
        <w:t>polarographis test</w:t>
      </w:r>
    </w:p>
    <w:p w:rsidR="00000000" w:rsidRPr="00F677D1" w:rsidP="00F677D1">
      <w:pPr>
        <w:pStyle w:val="ListBullet2"/>
      </w:pPr>
      <w:r w:rsidRPr="00F677D1">
        <w:t>assays based on biological properties or cell properties for enzyme antibody activity</w:t>
      </w:r>
    </w:p>
    <w:p w:rsidR="00000000" w:rsidRPr="00F677D1" w:rsidP="00F677D1">
      <w:pPr>
        <w:pStyle w:val="ListBullet2"/>
      </w:pPr>
      <w:r w:rsidRPr="00F677D1">
        <w:t>tests based on any complex method.</w:t>
      </w:r>
    </w:p>
    <w:p w:rsidR="00000000" w:rsidRPr="00F677D1" w:rsidP="00F677D1">
      <w:pPr>
        <w:pStyle w:val="AllowPageBreak"/>
      </w:pPr>
    </w:p>
    <w:p w:rsidR="00000000" w:rsidRPr="00F677D1" w:rsidP="00F677D1">
      <w:pPr>
        <w:pStyle w:val="Heading1"/>
      </w:pPr>
      <w:bookmarkStart w:id="3" w:name="O_985359"/>
      <w:bookmarkEnd w:id="3"/>
      <w:r w:rsidRPr="00F677D1">
        <w:t>Knowledge Evidence</w:t>
      </w:r>
    </w:p>
    <w:p w:rsidR="00000000" w:rsidRPr="00F677D1" w:rsidP="00CF1BA1">
      <w:pPr>
        <w:pStyle w:val="BodyText"/>
      </w:pPr>
      <w:r w:rsidRPr="00F677D1">
        <w:t>There must be evidence the candidate has knowledge of:</w:t>
      </w:r>
    </w:p>
    <w:p w:rsidR="00000000" w:rsidRPr="00F677D1" w:rsidP="00F677D1">
      <w:pPr>
        <w:pStyle w:val="ListBullet"/>
      </w:pPr>
      <w:r w:rsidRPr="00F677D1">
        <w:t>concepts relating to method and procedure development, including:</w:t>
      </w:r>
    </w:p>
    <w:p w:rsidR="00000000" w:rsidRPr="00F677D1" w:rsidP="00F677D1">
      <w:pPr>
        <w:pStyle w:val="ListBullet2"/>
      </w:pPr>
      <w:r w:rsidRPr="00F677D1">
        <w:t>determining and defining development objectives</w:t>
      </w:r>
    </w:p>
    <w:p w:rsidR="00000000" w:rsidRPr="00F677D1" w:rsidP="00F677D1">
      <w:pPr>
        <w:pStyle w:val="ListBullet2"/>
      </w:pPr>
      <w:r w:rsidRPr="00F677D1">
        <w:t xml:space="preserve">relating chemical and physical characteristic of sample to possible assay methods </w:t>
      </w:r>
    </w:p>
    <w:p w:rsidR="00000000" w:rsidRPr="00F677D1" w:rsidP="00F677D1">
      <w:pPr>
        <w:pStyle w:val="ListBullet2"/>
      </w:pPr>
      <w:r w:rsidRPr="00F677D1">
        <w:t>ev</w:t>
      </w:r>
      <w:r w:rsidRPr="00F677D1">
        <w:t xml:space="preserve">aluating criteria to choose appropriate analytical method </w:t>
      </w:r>
    </w:p>
    <w:p w:rsidR="00000000" w:rsidRPr="00F677D1" w:rsidP="00F677D1">
      <w:pPr>
        <w:pStyle w:val="ListBullet2"/>
      </w:pPr>
      <w:r w:rsidRPr="00F677D1">
        <w:t xml:space="preserve">sample clean-up and preparation techniques </w:t>
      </w:r>
    </w:p>
    <w:p w:rsidR="00000000" w:rsidRPr="00F677D1" w:rsidP="00F677D1">
      <w:pPr>
        <w:pStyle w:val="ListBullet2"/>
      </w:pPr>
      <w:r w:rsidRPr="00F677D1">
        <w:t xml:space="preserve">preparation, set-up and calibration of testing equipment </w:t>
      </w:r>
    </w:p>
    <w:p w:rsidR="00000000" w:rsidRPr="00F677D1" w:rsidP="00F677D1">
      <w:pPr>
        <w:pStyle w:val="ListBullet2"/>
      </w:pPr>
      <w:r w:rsidRPr="00F677D1">
        <w:t>choice of appropriate detection system ensuring accuracy/precision criteria are achieved</w:t>
      </w:r>
    </w:p>
    <w:p w:rsidR="00000000" w:rsidRPr="00F677D1" w:rsidP="00F677D1">
      <w:pPr>
        <w:pStyle w:val="ListBullet2"/>
      </w:pPr>
      <w:r w:rsidRPr="00F677D1">
        <w:t>optimi</w:t>
      </w:r>
      <w:r w:rsidRPr="00F677D1">
        <w:t xml:space="preserve">sation of analysis conditions </w:t>
      </w:r>
    </w:p>
    <w:p w:rsidR="00000000" w:rsidRPr="00F677D1" w:rsidP="00F677D1">
      <w:pPr>
        <w:pStyle w:val="ListBullet"/>
      </w:pPr>
      <w:r w:rsidRPr="00F677D1">
        <w:t>criteria for choice of method/procedure, including:</w:t>
      </w:r>
    </w:p>
    <w:p w:rsidR="00000000" w:rsidRPr="00F677D1" w:rsidP="00F677D1">
      <w:pPr>
        <w:pStyle w:val="ListBullet2"/>
      </w:pPr>
      <w:r w:rsidRPr="00F677D1">
        <w:t xml:space="preserve">economic factors </w:t>
      </w:r>
    </w:p>
    <w:p w:rsidR="00000000" w:rsidRPr="00F677D1" w:rsidP="00F677D1">
      <w:pPr>
        <w:pStyle w:val="ListBullet2"/>
      </w:pPr>
      <w:r w:rsidRPr="00F677D1">
        <w:t xml:space="preserve">safety considerations </w:t>
      </w:r>
    </w:p>
    <w:p w:rsidR="00000000" w:rsidRPr="00F677D1" w:rsidP="00F677D1">
      <w:pPr>
        <w:pStyle w:val="ListBullet2"/>
      </w:pPr>
      <w:r w:rsidRPr="00F677D1">
        <w:t xml:space="preserve">resource factors, including equipment and personnel </w:t>
      </w:r>
    </w:p>
    <w:p w:rsidR="00000000" w:rsidRPr="00F677D1" w:rsidP="00F677D1">
      <w:pPr>
        <w:pStyle w:val="ListBullet2"/>
      </w:pPr>
      <w:r w:rsidRPr="00F677D1">
        <w:t>regulatory, accreditation and registration considerations</w:t>
      </w:r>
    </w:p>
    <w:p w:rsidR="00000000" w:rsidRPr="00F677D1" w:rsidP="00F677D1">
      <w:pPr>
        <w:pStyle w:val="ListBullet"/>
      </w:pPr>
      <w:r w:rsidRPr="00F677D1">
        <w:t>detailed theoretical and practical basis of tests/analyses relevant to job role</w:t>
      </w:r>
    </w:p>
    <w:p w:rsidR="00000000" w:rsidRPr="00F677D1" w:rsidP="00F677D1">
      <w:pPr>
        <w:pStyle w:val="ListBullet"/>
      </w:pPr>
      <w:r w:rsidRPr="00F677D1">
        <w:t>operating principles and practices and characteristics, capabilities and limitations of testing equipment used</w:t>
      </w:r>
    </w:p>
    <w:p w:rsidR="00000000" w:rsidRPr="00F677D1" w:rsidP="00F677D1">
      <w:pPr>
        <w:pStyle w:val="ListBullet"/>
      </w:pPr>
      <w:r w:rsidRPr="00F677D1">
        <w:t>relative advantages and disadvantages of different testing method</w:t>
      </w:r>
      <w:r w:rsidRPr="00F677D1">
        <w:t>s</w:t>
      </w:r>
    </w:p>
    <w:p w:rsidR="00000000" w:rsidRPr="00F677D1" w:rsidP="00F677D1">
      <w:pPr>
        <w:pStyle w:val="ListBullet"/>
      </w:pPr>
      <w:r w:rsidRPr="00F677D1">
        <w:t>reasons for new methods of analysis and related procedures being developed:</w:t>
      </w:r>
    </w:p>
    <w:p w:rsidR="00000000" w:rsidRPr="00F677D1" w:rsidP="00F677D1">
      <w:pPr>
        <w:pStyle w:val="ListBullet2"/>
      </w:pPr>
      <w:r w:rsidRPr="00F677D1">
        <w:t>analysis of raw materials</w:t>
      </w:r>
    </w:p>
    <w:p w:rsidR="00000000" w:rsidRPr="00F677D1" w:rsidP="00F677D1">
      <w:pPr>
        <w:pStyle w:val="ListBullet2"/>
      </w:pPr>
      <w:r w:rsidRPr="00F677D1">
        <w:t xml:space="preserve">quality control or evaluation of the stability of products </w:t>
      </w:r>
    </w:p>
    <w:p w:rsidR="00000000" w:rsidRPr="00F677D1" w:rsidP="00F677D1">
      <w:pPr>
        <w:pStyle w:val="ListBullet2"/>
      </w:pPr>
      <w:r w:rsidRPr="00F677D1">
        <w:t xml:space="preserve">quality control or evaluation of the stability of new formulations of existing products </w:t>
      </w:r>
    </w:p>
    <w:p w:rsidR="00000000" w:rsidRPr="00F677D1" w:rsidP="00F677D1">
      <w:pPr>
        <w:pStyle w:val="ListBullet2"/>
      </w:pPr>
      <w:r w:rsidRPr="00F677D1">
        <w:t>in</w:t>
      </w:r>
      <w:r w:rsidRPr="00F677D1">
        <w:t xml:space="preserve">troduction of new technology </w:t>
      </w:r>
    </w:p>
    <w:p w:rsidR="00000000" w:rsidRPr="00F677D1" w:rsidP="00F677D1">
      <w:pPr>
        <w:pStyle w:val="ListBullet2"/>
      </w:pPr>
      <w:r w:rsidRPr="00F677D1">
        <w:t>to meet regulatory requirements</w:t>
      </w:r>
    </w:p>
    <w:p w:rsidR="00000000" w:rsidRPr="00F677D1" w:rsidP="00F677D1">
      <w:pPr>
        <w:pStyle w:val="ListBullet"/>
      </w:pPr>
      <w:r w:rsidRPr="00F677D1">
        <w:t>procedures and requirements for method and procedure development, validation and approval</w:t>
      </w:r>
    </w:p>
    <w:p w:rsidR="00000000" w:rsidRPr="00F677D1" w:rsidP="00F677D1">
      <w:pPr>
        <w:pStyle w:val="ListBullet"/>
      </w:pPr>
      <w:r w:rsidRPr="00F677D1">
        <w:t>awareness of environmental sustainability issues as they relate to the work task</w:t>
      </w:r>
    </w:p>
    <w:p w:rsidR="00000000" w:rsidRPr="00F677D1" w:rsidP="00F677D1">
      <w:pPr>
        <w:pStyle w:val="ListBullet"/>
      </w:pPr>
      <w:r w:rsidRPr="00F677D1">
        <w:t>legal, ethical and wor</w:t>
      </w:r>
      <w:r w:rsidRPr="00F677D1">
        <w:t>k health and safety (WHS) requirements specific to the work task.</w:t>
      </w:r>
    </w:p>
    <w:p w:rsidR="00000000" w:rsidRPr="00F677D1" w:rsidP="00F677D1">
      <w:pPr>
        <w:pStyle w:val="AllowPageBreak"/>
      </w:pPr>
    </w:p>
    <w:p w:rsidR="00000000" w:rsidRPr="00F677D1" w:rsidP="00F677D1">
      <w:pPr>
        <w:pStyle w:val="Heading1"/>
      </w:pPr>
      <w:bookmarkStart w:id="4" w:name="O_985358"/>
      <w:bookmarkEnd w:id="4"/>
      <w:r w:rsidRPr="00F677D1">
        <w:t>Assessment Conditions</w:t>
      </w:r>
    </w:p>
    <w:p w:rsidR="00000000" w:rsidRPr="00F677D1" w:rsidP="00CF1BA1">
      <w:pPr>
        <w:pStyle w:val="BodyText"/>
      </w:pPr>
      <w:r w:rsidRPr="00F677D1">
        <w:t xml:space="preserve">Skills must have been demonstrated in the workplace or in a simulated environment that reflects workplace conditions and contingencies. The following </w:t>
      </w:r>
      <w:r w:rsidRPr="00F677D1">
        <w:t xml:space="preserve">conditions must be met for this unit: </w:t>
      </w:r>
    </w:p>
    <w:p w:rsidR="00000000" w:rsidRPr="00F677D1" w:rsidP="00F677D1">
      <w:pPr>
        <w:pStyle w:val="ListBullet"/>
      </w:pPr>
      <w:r w:rsidRPr="00F677D1">
        <w:t xml:space="preserve">use of suitable facilities, equipment and resources, including: </w:t>
      </w:r>
    </w:p>
    <w:p w:rsidR="00000000" w:rsidRPr="00F677D1" w:rsidP="00F677D1">
      <w:pPr>
        <w:pStyle w:val="ListBullet2"/>
      </w:pPr>
      <w:r w:rsidRPr="00F677D1">
        <w:t>a standard laboratory equipped with appropriate equipment, instruments, reagents, samples and test methods, and SOPs</w:t>
      </w:r>
    </w:p>
    <w:p w:rsidR="00000000" w:rsidRPr="00F677D1" w:rsidP="00F677D1">
      <w:pPr>
        <w:pStyle w:val="ListBullet2"/>
      </w:pPr>
      <w:r w:rsidRPr="00F677D1">
        <w:t>online data search facilities.</w:t>
      </w:r>
    </w:p>
    <w:p w:rsidR="00000000" w:rsidRPr="00F677D1" w:rsidP="00CF1BA1">
      <w:pPr>
        <w:pStyle w:val="BodyText"/>
      </w:pPr>
      <w:r w:rsidRPr="00F677D1">
        <w:br/>
        <w:t>A</w:t>
      </w:r>
      <w:r w:rsidRPr="00F677D1">
        <w:t>ssessors must satisfy the NVR/AQTF mandatory competency requirements for assessors.</w:t>
      </w:r>
    </w:p>
    <w:p w:rsidR="00000000" w:rsidRPr="00F677D1" w:rsidP="00F677D1">
      <w:pPr>
        <w:pStyle w:val="AllowPageBreak"/>
      </w:pPr>
    </w:p>
    <w:p w:rsidR="00000000" w:rsidRPr="00F677D1" w:rsidP="00F677D1">
      <w:pPr>
        <w:pStyle w:val="Heading1"/>
      </w:pPr>
      <w:bookmarkStart w:id="5" w:name="O_985356"/>
      <w:bookmarkEnd w:id="5"/>
      <w:r w:rsidRPr="00F677D1">
        <w:t>Links</w:t>
      </w:r>
    </w:p>
    <w:p w:rsidR="00000000" w:rsidRPr="00F677D1" w:rsidP="00CF1BA1">
      <w:pPr>
        <w:pStyle w:val="BodyText"/>
      </w:pPr>
      <w:r w:rsidRPr="00F677D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208E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677D1" w:rsidP="00F677D1"/>
    <w:sectPr w:rsidSect="00F677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1" w:rsidRPr="00CF1BA1" w:rsidP="00CF1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A1" w:rsidP="00F67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BA1" w:rsidP="00F67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1BA1" w:rsidP="00F67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7D1" w:rsidRPr="00CF1BA1" w:rsidP="00CF1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A1" w:rsidRPr="002D2AF8" w:rsidP="00F67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MSL977008 Develop or adapt analyses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CF1BA1" w:rsidP="00F67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23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3EE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B6A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7D1"/>
  </w:style>
  <w:style w:type="character" w:customStyle="1" w:styleId="Heading1Char">
    <w:name w:val="Heading 1 Char"/>
    <w:basedOn w:val="DefaultParagraphFont"/>
    <w:link w:val="Heading1"/>
    <w:rsid w:val="00F67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7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7D1"/>
    <w:rPr>
      <w:b/>
      <w:spacing w:val="0"/>
    </w:rPr>
  </w:style>
  <w:style w:type="paragraph" w:styleId="ListBullet2">
    <w:name w:val="List Bullet 2"/>
    <w:basedOn w:val="List2"/>
    <w:rsid w:val="00F677D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77D1"/>
    <w:rPr>
      <w:i/>
    </w:rPr>
  </w:style>
  <w:style w:type="paragraph" w:customStyle="1" w:styleId="SuperHeading">
    <w:name w:val="SuperHeading"/>
    <w:basedOn w:val="Normal"/>
    <w:rsid w:val="00F67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77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7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7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7D1"/>
  </w:style>
  <w:style w:type="paragraph" w:styleId="TableofFigures">
    <w:name w:val="table of figures"/>
    <w:basedOn w:val="Normal"/>
    <w:next w:val="Normal"/>
    <w:semiHidden/>
    <w:rsid w:val="00F67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7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77D1"/>
    <w:rPr>
      <w:rFonts w:ascii="Wingdings" w:hAnsi="Wingdings"/>
    </w:rPr>
  </w:style>
  <w:style w:type="paragraph" w:customStyle="1" w:styleId="TableHeading">
    <w:name w:val="Table Heading"/>
    <w:basedOn w:val="HeadingBase"/>
    <w:rsid w:val="00F67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7D1"/>
    <w:rPr>
      <w:color w:val="0033CC"/>
      <w:u w:val="none"/>
    </w:rPr>
  </w:style>
  <w:style w:type="paragraph" w:customStyle="1" w:styleId="BodyTextRight">
    <w:name w:val="Body Text Right"/>
    <w:basedOn w:val="BodyText"/>
    <w:rsid w:val="00F67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7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7D1"/>
    <w:rPr>
      <w:sz w:val="32"/>
    </w:rPr>
  </w:style>
  <w:style w:type="paragraph" w:customStyle="1" w:styleId="HeadingProcedure">
    <w:name w:val="Heading Procedure"/>
    <w:basedOn w:val="HeadingBase"/>
    <w:next w:val="Normal"/>
    <w:rsid w:val="00F67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7D1"/>
    <w:pPr>
      <w:spacing w:before="60" w:after="60"/>
    </w:pPr>
  </w:style>
  <w:style w:type="paragraph" w:styleId="ListContinue">
    <w:name w:val="List Continue"/>
    <w:basedOn w:val="List"/>
    <w:rsid w:val="00F677D1"/>
    <w:pPr>
      <w:ind w:firstLine="0"/>
    </w:pPr>
  </w:style>
  <w:style w:type="paragraph" w:customStyle="1" w:styleId="ListNote">
    <w:name w:val="List Note"/>
    <w:basedOn w:val="List"/>
    <w:rsid w:val="00F67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7D1"/>
    <w:rPr>
      <w:rFonts w:ascii="Courier New" w:hAnsi="Courier New"/>
    </w:rPr>
  </w:style>
  <w:style w:type="paragraph" w:customStyle="1" w:styleId="NoteBullet">
    <w:name w:val="Note Bullet"/>
    <w:basedOn w:val="Note"/>
    <w:rsid w:val="00F67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7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7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7D1"/>
    <w:rPr>
      <w:b/>
      <w:smallCaps/>
    </w:rPr>
  </w:style>
  <w:style w:type="paragraph" w:customStyle="1" w:styleId="TableListNumber">
    <w:name w:val="Table List Number"/>
    <w:basedOn w:val="ListNumber"/>
    <w:rsid w:val="00F67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7D1"/>
    <w:pPr>
      <w:numPr>
        <w:numId w:val="10"/>
      </w:numPr>
    </w:pPr>
  </w:style>
  <w:style w:type="paragraph" w:customStyle="1" w:styleId="ListAlpha2">
    <w:name w:val="List Alpha 2"/>
    <w:basedOn w:val="List2"/>
    <w:rsid w:val="00F677D1"/>
    <w:pPr>
      <w:numPr>
        <w:numId w:val="9"/>
      </w:numPr>
    </w:pPr>
  </w:style>
  <w:style w:type="paragraph" w:styleId="List2">
    <w:name w:val="List 2"/>
    <w:basedOn w:val="BodyText"/>
    <w:rsid w:val="00F67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7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77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77D1"/>
    <w:pPr>
      <w:numPr>
        <w:numId w:val="5"/>
      </w:numPr>
    </w:pPr>
  </w:style>
  <w:style w:type="paragraph" w:styleId="ListContinue2">
    <w:name w:val="List Continue 2"/>
    <w:basedOn w:val="List2"/>
    <w:rsid w:val="00F677D1"/>
    <w:pPr>
      <w:ind w:firstLine="0"/>
    </w:pPr>
  </w:style>
  <w:style w:type="paragraph" w:styleId="ListContinue3">
    <w:name w:val="List Continue 3"/>
    <w:basedOn w:val="List3"/>
    <w:rsid w:val="00F677D1"/>
    <w:pPr>
      <w:ind w:left="1021" w:firstLine="0"/>
    </w:pPr>
  </w:style>
  <w:style w:type="paragraph" w:styleId="ListContinue4">
    <w:name w:val="List Continue 4"/>
    <w:basedOn w:val="List4"/>
    <w:rsid w:val="00F677D1"/>
    <w:pPr>
      <w:ind w:firstLine="0"/>
    </w:pPr>
  </w:style>
  <w:style w:type="paragraph" w:styleId="ListContinue5">
    <w:name w:val="List Continue 5"/>
    <w:basedOn w:val="List5"/>
    <w:rsid w:val="00F677D1"/>
    <w:pPr>
      <w:ind w:firstLine="0"/>
    </w:pPr>
  </w:style>
  <w:style w:type="paragraph" w:styleId="ListNumber3">
    <w:name w:val="List Number 3"/>
    <w:basedOn w:val="List3"/>
    <w:rsid w:val="00F677D1"/>
    <w:pPr>
      <w:numPr>
        <w:numId w:val="6"/>
      </w:numPr>
    </w:pPr>
  </w:style>
  <w:style w:type="paragraph" w:styleId="ListNumber4">
    <w:name w:val="List Number 4"/>
    <w:basedOn w:val="List4"/>
    <w:rsid w:val="00F677D1"/>
    <w:pPr>
      <w:numPr>
        <w:numId w:val="7"/>
      </w:numPr>
    </w:pPr>
  </w:style>
  <w:style w:type="paragraph" w:styleId="ListNumber5">
    <w:name w:val="List Number 5"/>
    <w:basedOn w:val="List5"/>
    <w:rsid w:val="00F677D1"/>
    <w:pPr>
      <w:numPr>
        <w:numId w:val="8"/>
      </w:numPr>
    </w:pPr>
  </w:style>
  <w:style w:type="paragraph" w:styleId="BlockText">
    <w:name w:val="Block Text"/>
    <w:basedOn w:val="Normal"/>
    <w:rsid w:val="00F67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7D1"/>
    <w:rPr>
      <w:sz w:val="16"/>
      <w:vertAlign w:val="superscript"/>
    </w:rPr>
  </w:style>
  <w:style w:type="character" w:customStyle="1" w:styleId="Symbols">
    <w:name w:val="Symbols"/>
    <w:basedOn w:val="DefaultParagraphFont"/>
    <w:rsid w:val="00F677D1"/>
    <w:rPr>
      <w:rFonts w:ascii="Symbol" w:hAnsi="Symbol"/>
    </w:rPr>
  </w:style>
  <w:style w:type="character" w:customStyle="1" w:styleId="MenuOptions">
    <w:name w:val="Menu Options"/>
    <w:basedOn w:val="DefaultParagraphFont"/>
    <w:rsid w:val="00F67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7D1"/>
    <w:rPr>
      <w:b/>
    </w:rPr>
  </w:style>
  <w:style w:type="character" w:customStyle="1" w:styleId="Underlined">
    <w:name w:val="Underlined"/>
    <w:basedOn w:val="DefaultParagraphFont"/>
    <w:rsid w:val="00F677D1"/>
    <w:rPr>
      <w:u w:val="single"/>
    </w:rPr>
  </w:style>
  <w:style w:type="paragraph" w:customStyle="1" w:styleId="TableBodyTextRight">
    <w:name w:val="Table Body Text Right"/>
    <w:basedOn w:val="TableBodyText"/>
    <w:rsid w:val="00F67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7D1"/>
    <w:rPr>
      <w:sz w:val="18"/>
    </w:rPr>
  </w:style>
  <w:style w:type="paragraph" w:customStyle="1" w:styleId="BodySmallRight">
    <w:name w:val="Body Small Right"/>
    <w:basedOn w:val="BodyTextRight"/>
    <w:rsid w:val="00F677D1"/>
    <w:rPr>
      <w:sz w:val="18"/>
      <w:szCs w:val="18"/>
    </w:rPr>
  </w:style>
  <w:style w:type="paragraph" w:customStyle="1" w:styleId="MarginEdition">
    <w:name w:val="Margin Edition"/>
    <w:basedOn w:val="MarginNote"/>
    <w:rsid w:val="00F67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7D1"/>
    <w:rPr>
      <w:sz w:val="2"/>
      <w:szCs w:val="2"/>
    </w:rPr>
  </w:style>
  <w:style w:type="character" w:customStyle="1" w:styleId="Small">
    <w:name w:val="Small"/>
    <w:basedOn w:val="DefaultParagraphFont"/>
    <w:rsid w:val="00F677D1"/>
    <w:rPr>
      <w:sz w:val="16"/>
    </w:rPr>
  </w:style>
  <w:style w:type="paragraph" w:customStyle="1" w:styleId="WideTable">
    <w:name w:val="Wide Table"/>
    <w:basedOn w:val="Normal"/>
    <w:rsid w:val="00F67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7D1"/>
  </w:style>
  <w:style w:type="paragraph" w:styleId="Quote">
    <w:name w:val="Quote"/>
    <w:basedOn w:val="Heading1"/>
    <w:link w:val="QuoteChar"/>
    <w:qFormat/>
    <w:rsid w:val="00F67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7D1"/>
    <w:pPr>
      <w:pageBreakBefore/>
    </w:pPr>
  </w:style>
  <w:style w:type="paragraph" w:customStyle="1" w:styleId="Border">
    <w:name w:val="Border"/>
    <w:basedOn w:val="Normal"/>
    <w:qFormat/>
    <w:rsid w:val="00F67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7D1"/>
    <w:rPr>
      <w:u w:val="single"/>
    </w:rPr>
  </w:style>
  <w:style w:type="character" w:customStyle="1" w:styleId="BoldandItalics">
    <w:name w:val="Bold and Italics"/>
    <w:qFormat/>
    <w:rsid w:val="00F677D1"/>
    <w:rPr>
      <w:b/>
      <w:i/>
      <w:u w:val="none"/>
    </w:rPr>
  </w:style>
  <w:style w:type="paragraph" w:styleId="BalloonText">
    <w:name w:val="Balloon Text"/>
    <w:basedOn w:val="Normal"/>
    <w:link w:val="BalloonTextChar"/>
    <w:rsid w:val="00F67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7D1"/>
    <w:pPr>
      <w:spacing w:before="0" w:after="0"/>
    </w:pPr>
  </w:style>
  <w:style w:type="paragraph" w:customStyle="1" w:styleId="BodyTextBold">
    <w:name w:val="Body Text Bold"/>
    <w:basedOn w:val="BodyText"/>
    <w:qFormat/>
    <w:rsid w:val="00F677D1"/>
    <w:rPr>
      <w:b/>
    </w:rPr>
  </w:style>
  <w:style w:type="character" w:styleId="Hyperlink">
    <w:name w:val="Hyperlink"/>
    <w:basedOn w:val="DefaultParagraphFont"/>
    <w:uiPriority w:val="99"/>
    <w:unhideWhenUsed/>
    <w:rsid w:val="00CF1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3388</Characters>
  <Application>Microsoft Office Word</Application>
  <DocSecurity>0</DocSecurity>
  <Lines>96</Lines>
  <Paragraphs>80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MSL977008 Develop or adapt analyses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2021-10-27T23:06:00Z</dcterms:created>
  <dcterms:modified xsi:type="dcterms:W3CDTF">2021-10-27T23:06:00Z</dcterms:modified>
</cp:coreProperties>
</file>