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0797" w:rsidP="002607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MSL977006 Contribute to the development of products and applications</w:t>
      </w:r>
      <w:r>
        <w:fldChar w:fldCharType="end"/>
      </w:r>
    </w:p>
    <w:p w:rsidR="00260797" w:rsidP="00260797">
      <w:pPr>
        <w:pStyle w:val="Version"/>
        <w:sectPr w:rsidSect="002C2C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2C77" w:rsidP="002C2C77">
      <w:pPr>
        <w:pStyle w:val="SuperHeading"/>
      </w:pPr>
      <w:r w:rsidRPr="002C2C77">
        <w:t>MSL977006 Contribute to the development of products and applications</w:t>
      </w:r>
    </w:p>
    <w:p w:rsidR="00000000" w:rsidRPr="002C2C77" w:rsidP="002C2C77">
      <w:pPr>
        <w:pStyle w:val="Heading1"/>
      </w:pPr>
      <w:bookmarkStart w:id="1" w:name="O_985395"/>
      <w:bookmarkEnd w:id="1"/>
      <w:r w:rsidRPr="002C2C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2C2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C2C77" w:rsidP="002C2C77">
            <w:pPr>
              <w:pStyle w:val="BodyText"/>
            </w:pPr>
            <w:r w:rsidRPr="002C2C77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rPr>
                <w:rStyle w:val="SpecialBold"/>
              </w:rPr>
              <w:t>Comments</w:t>
            </w:r>
          </w:p>
        </w:tc>
      </w:tr>
      <w:tr w:rsidTr="002C2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C77" w:rsidP="002C2C77">
            <w:pPr>
              <w:pStyle w:val="BodyText"/>
            </w:pPr>
            <w:r w:rsidRPr="002C2C77">
              <w:t xml:space="preserve">This version was released in </w:t>
            </w:r>
            <w:r w:rsidRPr="002C2C77">
              <w:rPr>
                <w:rStyle w:val="Emphasis"/>
              </w:rPr>
              <w:t>MSL Laboratory Operations Training Package Release 2.0.</w:t>
            </w:r>
          </w:p>
          <w:p w:rsidR="00000000" w:rsidRPr="002C2C77" w:rsidP="002C2C77">
            <w:pPr>
              <w:pStyle w:val="BodyText"/>
            </w:pPr>
            <w:r w:rsidRPr="002C2C77">
              <w:t>Supersedes and equivalent to MSL977001 Contribute to the development of products and applications. Prerequisites updated. Range of conditions removed. Assessment requirements amended. Equivalent outcome.</w:t>
            </w:r>
          </w:p>
        </w:tc>
      </w:tr>
    </w:tbl>
    <w:p w:rsidR="00000000" w:rsidRPr="002C2C77" w:rsidP="002C2C77">
      <w:pPr>
        <w:pStyle w:val="BodyText"/>
      </w:pPr>
    </w:p>
    <w:p w:rsidR="00000000" w:rsidRPr="002C2C77" w:rsidP="002C2C77">
      <w:pPr>
        <w:pStyle w:val="AllowPageBreak"/>
      </w:pPr>
    </w:p>
    <w:p w:rsidR="00000000" w:rsidRPr="002C2C77" w:rsidP="002C2C77">
      <w:pPr>
        <w:pStyle w:val="Heading1"/>
      </w:pPr>
      <w:bookmarkStart w:id="2" w:name="O_985401"/>
      <w:bookmarkEnd w:id="2"/>
      <w:r w:rsidRPr="002C2C77">
        <w:t>Application</w:t>
      </w:r>
    </w:p>
    <w:p w:rsidR="00000000" w:rsidRPr="002C2C77" w:rsidP="00260797">
      <w:pPr>
        <w:pStyle w:val="BodyText"/>
      </w:pPr>
      <w:r w:rsidRPr="002C2C77">
        <w:t>This unit of competen</w:t>
      </w:r>
      <w:r w:rsidRPr="002C2C77">
        <w:t>cy describes the skills and knowledge to evaluate a product/application brief and to contribute to the development of products and applications to meet the requirements of the brief.</w:t>
      </w:r>
    </w:p>
    <w:p w:rsidR="00000000" w:rsidRPr="002C2C77" w:rsidP="00260797">
      <w:pPr>
        <w:pStyle w:val="BodyText"/>
      </w:pPr>
      <w:r w:rsidRPr="002C2C77">
        <w:t>This unit applies to senior technical officers, laboratory supervisors a</w:t>
      </w:r>
      <w:r w:rsidRPr="002C2C77">
        <w:t>nd technical specialists working in all industry sectors. All operations must comply with relevant standards, appropriate procedures and/or workplace requirements.</w:t>
      </w:r>
    </w:p>
    <w:p w:rsidR="00000000" w:rsidRPr="002C2C77" w:rsidP="00260797">
      <w:pPr>
        <w:pStyle w:val="BodyText"/>
      </w:pPr>
      <w:r w:rsidRPr="002C2C77">
        <w:t>No licensing or certification requirements exist at the time of publication. However, regul</w:t>
      </w:r>
      <w:r w:rsidRPr="002C2C77">
        <w:t>ations and/or external accreditation requirements for laboratory operations exist, so local requirements should be checked. Relevant legislation, industry standards and codes of practice within Australia must also be applied.</w:t>
      </w:r>
    </w:p>
    <w:p w:rsidR="00000000" w:rsidRPr="002C2C77" w:rsidP="002C2C77">
      <w:pPr>
        <w:pStyle w:val="Heading1"/>
      </w:pPr>
      <w:bookmarkStart w:id="3" w:name="O_985400"/>
      <w:bookmarkEnd w:id="3"/>
      <w:r w:rsidRPr="002C2C77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2607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MSL976005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C77" w:rsidP="002C2C77">
            <w:pPr>
              <w:pStyle w:val="BodyText"/>
            </w:pPr>
            <w:r w:rsidRPr="002C2C77">
              <w:t>Evaluate and select appropriate test methods and/or procedures</w:t>
            </w:r>
          </w:p>
        </w:tc>
      </w:tr>
    </w:tbl>
    <w:p w:rsidR="00000000" w:rsidRPr="002C2C77" w:rsidP="002C2C77">
      <w:pPr>
        <w:pStyle w:val="BodyText"/>
      </w:pPr>
    </w:p>
    <w:p w:rsidR="00000000" w:rsidRPr="002C2C77" w:rsidP="002C2C77">
      <w:pPr>
        <w:pStyle w:val="AllowPageBreak"/>
      </w:pPr>
    </w:p>
    <w:p w:rsidR="00000000" w:rsidRPr="002C2C77" w:rsidP="002C2C77">
      <w:pPr>
        <w:pStyle w:val="Heading1"/>
      </w:pPr>
      <w:bookmarkStart w:id="4" w:name="O_985399"/>
      <w:bookmarkEnd w:id="4"/>
      <w:r w:rsidRPr="002C2C77">
        <w:t>Competency Field</w:t>
      </w:r>
    </w:p>
    <w:p w:rsidR="00000000" w:rsidRPr="002C2C77" w:rsidP="00260797">
      <w:pPr>
        <w:pStyle w:val="BodyText"/>
      </w:pPr>
      <w:r w:rsidRPr="002C2C77">
        <w:t>Testing</w:t>
      </w:r>
    </w:p>
    <w:p w:rsidR="00000000" w:rsidRPr="002C2C77" w:rsidP="002C2C77">
      <w:pPr>
        <w:pStyle w:val="Heading1"/>
      </w:pPr>
      <w:bookmarkStart w:id="5" w:name="O_985398"/>
      <w:bookmarkEnd w:id="5"/>
      <w:r w:rsidRPr="002C2C7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2C2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Performance criteria descr</w:t>
            </w:r>
            <w:r w:rsidRPr="002C2C77">
              <w:t>ibe the performance needed to demonstrate achievement of the element.</w:t>
            </w:r>
          </w:p>
        </w:tc>
      </w:tr>
      <w:tr w:rsidTr="002C2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C77" w:rsidP="002C2C77">
            <w:pPr>
              <w:pStyle w:val="BodyText"/>
            </w:pPr>
            <w:r w:rsidRPr="002C2C77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rPr>
                <w:rStyle w:val="SpecialBold"/>
              </w:rPr>
              <w:t>Scope the development project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Confirm details of new product/application brief</w:t>
            </w:r>
          </w:p>
        </w:tc>
      </w:tr>
      <w:tr w:rsidTr="002C2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Specify new product/application requirements</w:t>
            </w:r>
          </w:p>
        </w:tc>
      </w:tr>
      <w:tr w:rsidTr="002C2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 xml:space="preserve">Analyse existing products (internal and external to workplace) to determine if they meet customer need </w:t>
            </w:r>
          </w:p>
        </w:tc>
      </w:tr>
      <w:tr w:rsidTr="002C2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Interpret and apply relevant Acts, regulations and codes of practice</w:t>
            </w:r>
          </w:p>
        </w:tc>
      </w:tr>
      <w:tr w:rsidTr="002C2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Prepare product/application development plan</w:t>
            </w:r>
          </w:p>
        </w:tc>
      </w:tr>
      <w:tr w:rsidTr="002C2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Obtain approval f</w:t>
            </w:r>
            <w:r w:rsidRPr="002C2C77">
              <w:t>or development plan from appropriate personnel</w:t>
            </w:r>
          </w:p>
        </w:tc>
      </w:tr>
      <w:tr w:rsidTr="002C2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C2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C77" w:rsidP="002C2C77">
            <w:pPr>
              <w:pStyle w:val="BodyText"/>
            </w:pPr>
            <w:r w:rsidRPr="002C2C77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rPr>
                <w:rStyle w:val="SpecialBold"/>
              </w:rPr>
              <w:t>Set scope of project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Estimate resource requirements, including staffing, equipment and materials needed to undertake the project</w:t>
            </w:r>
          </w:p>
        </w:tc>
      </w:tr>
      <w:tr w:rsidTr="002C2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Identify roles and responsibilities of project team members</w:t>
            </w:r>
          </w:p>
        </w:tc>
      </w:tr>
      <w:tr w:rsidTr="002C2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Identify quality requirements and quality standards</w:t>
            </w:r>
          </w:p>
        </w:tc>
      </w:tr>
      <w:tr w:rsidTr="002C2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Identify and document project timelines taking into account any constraints</w:t>
            </w:r>
          </w:p>
        </w:tc>
      </w:tr>
      <w:tr w:rsidTr="002C2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C2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C77" w:rsidP="002C2C77">
            <w:pPr>
              <w:pStyle w:val="BodyText"/>
            </w:pPr>
            <w:r w:rsidRPr="002C2C77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rPr>
                <w:rStyle w:val="SpecialBold"/>
              </w:rPr>
              <w:t>Develop new product formulation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Prepare documentation for new product pilot batch</w:t>
            </w:r>
          </w:p>
        </w:tc>
      </w:tr>
      <w:tr w:rsidTr="002C2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Evaluate/recommend materials for new product/application</w:t>
            </w:r>
          </w:p>
        </w:tc>
      </w:tr>
      <w:tr w:rsidTr="002C2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Calculate required quantities of materials and adjust for properties as appropriate</w:t>
            </w:r>
          </w:p>
        </w:tc>
      </w:tr>
      <w:tr w:rsidTr="002C2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Develop/modify products in pilot batch scale in accordance with workplace and regulatory requirements</w:t>
            </w:r>
          </w:p>
        </w:tc>
      </w:tr>
      <w:tr w:rsidTr="002C2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Arrange for product evaluation against development brief</w:t>
            </w:r>
          </w:p>
        </w:tc>
      </w:tr>
      <w:tr w:rsidTr="002C2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 xml:space="preserve">Modify product/application to meet evaluation </w:t>
            </w:r>
            <w:r w:rsidRPr="002C2C77">
              <w:t>recommendations</w:t>
            </w:r>
          </w:p>
        </w:tc>
      </w:tr>
      <w:tr w:rsidTr="002C2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Edit documentation and issue to appropriate personnel</w:t>
            </w:r>
          </w:p>
        </w:tc>
      </w:tr>
      <w:tr w:rsidTr="002C2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Recommend and evaluate packaging for new product/appli</w:t>
            </w:r>
            <w:r w:rsidRPr="002C2C77">
              <w:t>cation</w:t>
            </w:r>
          </w:p>
        </w:tc>
      </w:tr>
      <w:tr w:rsidTr="002C2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3.9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Prepare protocol for stability (shelf) testing of new product/application</w:t>
            </w:r>
          </w:p>
        </w:tc>
      </w:tr>
      <w:tr w:rsidTr="002C2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C2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C77" w:rsidP="002C2C77">
            <w:pPr>
              <w:pStyle w:val="BodyText"/>
            </w:pPr>
            <w:r w:rsidRPr="002C2C77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rPr>
                <w:rStyle w:val="SpecialBold"/>
              </w:rPr>
              <w:t>Assist with preparation of quality/ regulatory compliance procedures/ materials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Develop in-process and laboratory testing protocols</w:t>
            </w:r>
          </w:p>
        </w:tc>
      </w:tr>
      <w:tr w:rsidTr="002C2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Prepare product labelling and submit for approval</w:t>
            </w:r>
          </w:p>
        </w:tc>
      </w:tr>
      <w:tr w:rsidTr="002C2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Assist in product and analytical method validation</w:t>
            </w:r>
          </w:p>
        </w:tc>
      </w:tr>
      <w:tr w:rsidTr="002C2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Implement an effective plant hygiene and asepsis program</w:t>
            </w:r>
          </w:p>
        </w:tc>
      </w:tr>
      <w:tr w:rsidTr="002C2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Develop good manufacturing principles for medicinal products (GMP)/principles of good laboratory practice (GLP) protocols for approval by appropriate personnel</w:t>
            </w:r>
          </w:p>
        </w:tc>
      </w:tr>
      <w:tr w:rsidTr="002C2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Prepare standard operating procedures (SOPs) for quality and laboratory-related procedure</w:t>
            </w:r>
            <w:r w:rsidRPr="002C2C77">
              <w:t>s</w:t>
            </w:r>
          </w:p>
        </w:tc>
      </w:tr>
      <w:tr w:rsidTr="002C2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4.7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Prepare work health and safety (WHS) procedures for the laboratory and manufacturing environment and submit for approval</w:t>
            </w:r>
          </w:p>
        </w:tc>
      </w:tr>
      <w:tr w:rsidTr="002C2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C2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C77" w:rsidP="002C2C77">
            <w:pPr>
              <w:pStyle w:val="BodyText"/>
            </w:pPr>
            <w:r w:rsidRPr="002C2C77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rPr>
                <w:rStyle w:val="SpecialBold"/>
              </w:rPr>
              <w:t>Document and report project outcomes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Document and report project outcomes</w:t>
            </w:r>
          </w:p>
        </w:tc>
      </w:tr>
      <w:tr w:rsidTr="002C2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C77">
            <w:pPr>
              <w:pStyle w:val="BodyText"/>
              <w:rPr>
                <w:lang w:val="en-NZ"/>
              </w:rPr>
            </w:pPr>
            <w:r w:rsidRPr="002C2C77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C77" w:rsidP="002C2C77">
            <w:pPr>
              <w:pStyle w:val="BodyText"/>
            </w:pPr>
            <w:r w:rsidRPr="002C2C77">
              <w:t>Complete project reporting requirements</w:t>
            </w:r>
          </w:p>
        </w:tc>
      </w:tr>
    </w:tbl>
    <w:p w:rsidR="00000000" w:rsidRPr="002C2C77" w:rsidP="002C2C77">
      <w:pPr>
        <w:pStyle w:val="BodyText"/>
      </w:pPr>
    </w:p>
    <w:p w:rsidR="00000000" w:rsidRPr="002C2C77" w:rsidP="002C2C77">
      <w:pPr>
        <w:pStyle w:val="AllowPageBreak"/>
      </w:pPr>
    </w:p>
    <w:p w:rsidR="00000000" w:rsidRPr="002C2C77" w:rsidP="002C2C77">
      <w:pPr>
        <w:pStyle w:val="Heading1"/>
      </w:pPr>
      <w:bookmarkStart w:id="6" w:name="O_985397"/>
      <w:bookmarkEnd w:id="6"/>
      <w:r w:rsidRPr="002C2C77">
        <w:t>Foundation Skills</w:t>
      </w:r>
    </w:p>
    <w:p w:rsidR="00000000" w:rsidRPr="002C2C77" w:rsidP="00260797">
      <w:pPr>
        <w:pStyle w:val="BodyText"/>
      </w:pPr>
      <w:r w:rsidRPr="002C2C77">
        <w:t>This section describes those language, literacy, numeracy and employment skills that are essential to performance.</w:t>
      </w:r>
    </w:p>
    <w:p w:rsidR="00000000" w:rsidRPr="002C2C77" w:rsidP="00260797">
      <w:pPr>
        <w:pStyle w:val="BodyText"/>
      </w:pPr>
      <w:r w:rsidRPr="002C2C77">
        <w:t>Foundation skills essential to performance are explicit in the performance criteria of this unit of competency.</w:t>
      </w:r>
    </w:p>
    <w:p w:rsidR="00000000" w:rsidRPr="002C2C77" w:rsidP="002C2C77">
      <w:pPr>
        <w:pStyle w:val="Heading1"/>
      </w:pPr>
      <w:bookmarkStart w:id="7" w:name="O_985396"/>
      <w:bookmarkEnd w:id="7"/>
      <w:r w:rsidRPr="002C2C77">
        <w:t>Unit Mapping Information</w:t>
      </w:r>
    </w:p>
    <w:p w:rsidR="00000000" w:rsidRPr="002C2C77" w:rsidP="00260797">
      <w:pPr>
        <w:pStyle w:val="BodyText"/>
      </w:pPr>
      <w:r w:rsidRPr="002C2C77">
        <w:t>Equivalent to MSL977001 Contribute to the development of products and applications, Release 1.</w:t>
      </w:r>
    </w:p>
    <w:p w:rsidR="00000000" w:rsidRPr="002C2C77" w:rsidP="002C2C77">
      <w:pPr>
        <w:pStyle w:val="Heading1"/>
      </w:pPr>
      <w:bookmarkStart w:id="8" w:name="O_985389"/>
      <w:bookmarkEnd w:id="8"/>
      <w:r w:rsidRPr="002C2C77">
        <w:t>Links</w:t>
      </w:r>
    </w:p>
    <w:p w:rsidR="00000000" w:rsidRPr="002C2C77" w:rsidP="00260797">
      <w:pPr>
        <w:pStyle w:val="BodyText"/>
      </w:pPr>
      <w:r w:rsidRPr="002C2C77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F16AE1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2C2C77" w:rsidP="002C2C77"/>
    <w:sectPr w:rsidSect="002C2C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C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C77" w:rsidRPr="00260797" w:rsidP="002607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C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797" w:rsidP="002C2C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0797" w:rsidP="002C2C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60797" w:rsidP="002C2C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C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7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2C77" w:rsidRPr="00260797" w:rsidP="002607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C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797" w:rsidRPr="002D2AF8" w:rsidP="002C2C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MSL977006 Contribute to the development of products and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October 2021</w:t>
    </w:r>
    <w:r>
      <w:fldChar w:fldCharType="end"/>
    </w:r>
  </w:p>
  <w:p w:rsidR="00260797" w:rsidP="002C2C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C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2C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2C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2C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2C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2C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2C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2C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2C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2C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2C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2C77"/>
  </w:style>
  <w:style w:type="character" w:customStyle="1" w:styleId="Heading1Char">
    <w:name w:val="Heading 1 Char"/>
    <w:basedOn w:val="DefaultParagraphFont"/>
    <w:link w:val="Heading1"/>
    <w:rsid w:val="002C2C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2C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2C7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C2C77"/>
    <w:rPr>
      <w:b/>
      <w:spacing w:val="0"/>
    </w:rPr>
  </w:style>
  <w:style w:type="character" w:styleId="Emphasis">
    <w:name w:val="Emphasis"/>
    <w:basedOn w:val="DefaultParagraphFont"/>
    <w:qFormat/>
    <w:rsid w:val="002C2C77"/>
    <w:rPr>
      <w:i/>
    </w:rPr>
  </w:style>
  <w:style w:type="paragraph" w:customStyle="1" w:styleId="SuperHeading">
    <w:name w:val="SuperHeading"/>
    <w:basedOn w:val="Normal"/>
    <w:rsid w:val="002C2C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2C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2C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2C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2C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2C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2C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2C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2C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2C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2C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2C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2C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2C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2C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2C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2C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2C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2C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2C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2C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2C7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C2C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2C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2C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2C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2C7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2C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2C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2C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2C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2C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2C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2C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2C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2C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2C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2C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2C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2C77"/>
  </w:style>
  <w:style w:type="paragraph" w:styleId="TableofFigures">
    <w:name w:val="table of figures"/>
    <w:basedOn w:val="Normal"/>
    <w:next w:val="Normal"/>
    <w:semiHidden/>
    <w:rsid w:val="002C2C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2C7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C2C77"/>
    <w:rPr>
      <w:rFonts w:ascii="Wingdings" w:hAnsi="Wingdings"/>
    </w:rPr>
  </w:style>
  <w:style w:type="paragraph" w:customStyle="1" w:styleId="TableHeading">
    <w:name w:val="Table Heading"/>
    <w:basedOn w:val="HeadingBase"/>
    <w:rsid w:val="002C2C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2C77"/>
    <w:rPr>
      <w:color w:val="0033CC"/>
      <w:u w:val="none"/>
    </w:rPr>
  </w:style>
  <w:style w:type="paragraph" w:customStyle="1" w:styleId="BodyTextRight">
    <w:name w:val="Body Text Right"/>
    <w:basedOn w:val="BodyText"/>
    <w:rsid w:val="002C2C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2C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2C7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2C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2C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2C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2C77"/>
    <w:rPr>
      <w:sz w:val="32"/>
    </w:rPr>
  </w:style>
  <w:style w:type="paragraph" w:customStyle="1" w:styleId="HeadingProcedure">
    <w:name w:val="Heading Procedure"/>
    <w:basedOn w:val="HeadingBase"/>
    <w:next w:val="Normal"/>
    <w:rsid w:val="002C2C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2C77"/>
    <w:pPr>
      <w:spacing w:before="60" w:after="60"/>
    </w:pPr>
  </w:style>
  <w:style w:type="paragraph" w:styleId="ListContinue">
    <w:name w:val="List Continue"/>
    <w:basedOn w:val="List"/>
    <w:rsid w:val="002C2C77"/>
    <w:pPr>
      <w:ind w:firstLine="0"/>
    </w:pPr>
  </w:style>
  <w:style w:type="paragraph" w:customStyle="1" w:styleId="ListNote">
    <w:name w:val="List Note"/>
    <w:basedOn w:val="List"/>
    <w:rsid w:val="002C2C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2C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2C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2C77"/>
    <w:rPr>
      <w:rFonts w:ascii="Courier New" w:hAnsi="Courier New"/>
    </w:rPr>
  </w:style>
  <w:style w:type="paragraph" w:customStyle="1" w:styleId="NoteBullet">
    <w:name w:val="Note Bullet"/>
    <w:basedOn w:val="Note"/>
    <w:rsid w:val="002C2C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2C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2C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2C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2C7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C2C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2C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2C77"/>
    <w:rPr>
      <w:b/>
      <w:smallCaps/>
    </w:rPr>
  </w:style>
  <w:style w:type="paragraph" w:customStyle="1" w:styleId="TableListNumber">
    <w:name w:val="Table List Number"/>
    <w:basedOn w:val="ListNumber"/>
    <w:rsid w:val="002C2C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2C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2C77"/>
    <w:pPr>
      <w:numPr>
        <w:numId w:val="7"/>
      </w:numPr>
    </w:pPr>
  </w:style>
  <w:style w:type="paragraph" w:customStyle="1" w:styleId="ListAlpha2">
    <w:name w:val="List Alpha 2"/>
    <w:basedOn w:val="List2"/>
    <w:rsid w:val="002C2C77"/>
    <w:pPr>
      <w:numPr>
        <w:numId w:val="6"/>
      </w:numPr>
    </w:pPr>
  </w:style>
  <w:style w:type="paragraph" w:styleId="List2">
    <w:name w:val="List 2"/>
    <w:basedOn w:val="BodyText"/>
    <w:rsid w:val="002C2C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2C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2C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2C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2C7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2C7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C2C77"/>
    <w:pPr>
      <w:numPr>
        <w:numId w:val="2"/>
      </w:numPr>
    </w:pPr>
  </w:style>
  <w:style w:type="paragraph" w:styleId="ListContinue2">
    <w:name w:val="List Continue 2"/>
    <w:basedOn w:val="List2"/>
    <w:rsid w:val="002C2C77"/>
    <w:pPr>
      <w:ind w:firstLine="0"/>
    </w:pPr>
  </w:style>
  <w:style w:type="paragraph" w:styleId="ListContinue3">
    <w:name w:val="List Continue 3"/>
    <w:basedOn w:val="List3"/>
    <w:rsid w:val="002C2C77"/>
    <w:pPr>
      <w:ind w:left="1021" w:firstLine="0"/>
    </w:pPr>
  </w:style>
  <w:style w:type="paragraph" w:styleId="ListContinue4">
    <w:name w:val="List Continue 4"/>
    <w:basedOn w:val="List4"/>
    <w:rsid w:val="002C2C77"/>
    <w:pPr>
      <w:ind w:firstLine="0"/>
    </w:pPr>
  </w:style>
  <w:style w:type="paragraph" w:styleId="ListContinue5">
    <w:name w:val="List Continue 5"/>
    <w:basedOn w:val="List5"/>
    <w:rsid w:val="002C2C77"/>
    <w:pPr>
      <w:ind w:firstLine="0"/>
    </w:pPr>
  </w:style>
  <w:style w:type="paragraph" w:styleId="ListNumber3">
    <w:name w:val="List Number 3"/>
    <w:basedOn w:val="List3"/>
    <w:rsid w:val="002C2C77"/>
    <w:pPr>
      <w:numPr>
        <w:numId w:val="3"/>
      </w:numPr>
    </w:pPr>
  </w:style>
  <w:style w:type="paragraph" w:styleId="ListNumber4">
    <w:name w:val="List Number 4"/>
    <w:basedOn w:val="List4"/>
    <w:rsid w:val="002C2C77"/>
    <w:pPr>
      <w:numPr>
        <w:numId w:val="4"/>
      </w:numPr>
    </w:pPr>
  </w:style>
  <w:style w:type="paragraph" w:styleId="ListNumber5">
    <w:name w:val="List Number 5"/>
    <w:basedOn w:val="List5"/>
    <w:rsid w:val="002C2C77"/>
    <w:pPr>
      <w:numPr>
        <w:numId w:val="5"/>
      </w:numPr>
    </w:pPr>
  </w:style>
  <w:style w:type="paragraph" w:styleId="BlockText">
    <w:name w:val="Block Text"/>
    <w:basedOn w:val="Normal"/>
    <w:rsid w:val="002C2C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2C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2C77"/>
    <w:rPr>
      <w:sz w:val="16"/>
      <w:vertAlign w:val="superscript"/>
    </w:rPr>
  </w:style>
  <w:style w:type="character" w:customStyle="1" w:styleId="Symbols">
    <w:name w:val="Symbols"/>
    <w:basedOn w:val="DefaultParagraphFont"/>
    <w:rsid w:val="002C2C77"/>
    <w:rPr>
      <w:rFonts w:ascii="Symbol" w:hAnsi="Symbol"/>
    </w:rPr>
  </w:style>
  <w:style w:type="character" w:customStyle="1" w:styleId="MenuOptions">
    <w:name w:val="Menu Options"/>
    <w:basedOn w:val="DefaultParagraphFont"/>
    <w:rsid w:val="002C2C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2C77"/>
    <w:rPr>
      <w:b/>
    </w:rPr>
  </w:style>
  <w:style w:type="character" w:customStyle="1" w:styleId="Underlined">
    <w:name w:val="Underlined"/>
    <w:basedOn w:val="DefaultParagraphFont"/>
    <w:rsid w:val="002C2C77"/>
    <w:rPr>
      <w:u w:val="single"/>
    </w:rPr>
  </w:style>
  <w:style w:type="paragraph" w:customStyle="1" w:styleId="TableBodyTextRight">
    <w:name w:val="Table Body Text Right"/>
    <w:basedOn w:val="TableBodyText"/>
    <w:rsid w:val="002C2C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2C77"/>
    <w:rPr>
      <w:sz w:val="18"/>
    </w:rPr>
  </w:style>
  <w:style w:type="paragraph" w:customStyle="1" w:styleId="BodySmallRight">
    <w:name w:val="Body Small Right"/>
    <w:basedOn w:val="BodyTextRight"/>
    <w:rsid w:val="002C2C77"/>
    <w:rPr>
      <w:sz w:val="18"/>
      <w:szCs w:val="18"/>
    </w:rPr>
  </w:style>
  <w:style w:type="paragraph" w:customStyle="1" w:styleId="MarginEdition">
    <w:name w:val="Margin Edition"/>
    <w:basedOn w:val="MarginNote"/>
    <w:rsid w:val="002C2C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2C77"/>
    <w:rPr>
      <w:sz w:val="2"/>
      <w:szCs w:val="2"/>
    </w:rPr>
  </w:style>
  <w:style w:type="character" w:customStyle="1" w:styleId="Small">
    <w:name w:val="Small"/>
    <w:basedOn w:val="DefaultParagraphFont"/>
    <w:rsid w:val="002C2C77"/>
    <w:rPr>
      <w:sz w:val="16"/>
    </w:rPr>
  </w:style>
  <w:style w:type="paragraph" w:customStyle="1" w:styleId="WideTable">
    <w:name w:val="Wide Table"/>
    <w:basedOn w:val="Normal"/>
    <w:rsid w:val="002C2C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2C77"/>
  </w:style>
  <w:style w:type="paragraph" w:styleId="Quote">
    <w:name w:val="Quote"/>
    <w:basedOn w:val="Heading1"/>
    <w:link w:val="QuoteChar"/>
    <w:qFormat/>
    <w:rsid w:val="002C2C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2C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2C77"/>
    <w:pPr>
      <w:pageBreakBefore/>
    </w:pPr>
  </w:style>
  <w:style w:type="paragraph" w:customStyle="1" w:styleId="Border">
    <w:name w:val="Border"/>
    <w:basedOn w:val="Normal"/>
    <w:qFormat/>
    <w:rsid w:val="002C2C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2C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C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C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2C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2C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2C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2C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2C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2C77"/>
    <w:rPr>
      <w:u w:val="single"/>
    </w:rPr>
  </w:style>
  <w:style w:type="character" w:customStyle="1" w:styleId="BoldandItalics">
    <w:name w:val="Bold and Italics"/>
    <w:qFormat/>
    <w:rsid w:val="002C2C77"/>
    <w:rPr>
      <w:b/>
      <w:i/>
      <w:u w:val="none"/>
    </w:rPr>
  </w:style>
  <w:style w:type="paragraph" w:styleId="BalloonText">
    <w:name w:val="Balloon Text"/>
    <w:basedOn w:val="Normal"/>
    <w:link w:val="BalloonTextChar"/>
    <w:rsid w:val="002C2C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2C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2C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2C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2C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2C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2C77"/>
    <w:pPr>
      <w:spacing w:before="0" w:after="0"/>
    </w:pPr>
  </w:style>
  <w:style w:type="paragraph" w:customStyle="1" w:styleId="BodyTextBold">
    <w:name w:val="Body Text Bold"/>
    <w:basedOn w:val="BodyText"/>
    <w:qFormat/>
    <w:rsid w:val="002C2C77"/>
    <w:rPr>
      <w:b/>
    </w:rPr>
  </w:style>
  <w:style w:type="character" w:styleId="Hyperlink">
    <w:name w:val="Hyperlink"/>
    <w:basedOn w:val="DefaultParagraphFont"/>
    <w:uiPriority w:val="99"/>
    <w:unhideWhenUsed/>
    <w:rsid w:val="002607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587</Words>
  <Characters>3967</Characters>
  <Application>Microsoft Office Word</Application>
  <DocSecurity>0</DocSecurity>
  <Lines>233</Lines>
  <Paragraphs>113</Paragraphs>
  <ScaleCrop>false</ScaleCrop>
  <Company>Author-it Software Corporation Ltd.</Company>
  <LinksUpToDate>false</LinksUpToDate>
  <CharactersWithSpaces>4441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MSL977006 Contribute to the development of products and applications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2021-10-27T23:09:00Z</dcterms:created>
  <dcterms:modified xsi:type="dcterms:W3CDTF">2021-10-27T23:09:00Z</dcterms:modified>
</cp:coreProperties>
</file>