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3E5D" w:rsidP="000C3E5D">
      <w:pPr>
        <w:pStyle w:val="Title"/>
      </w:pPr>
      <w:r>
        <w:fldChar w:fldCharType="begin"/>
      </w:r>
      <w:r>
        <w:instrText xml:space="preserve"> TITLE   \* MERGEFORMAT </w:instrText>
      </w:r>
      <w:r>
        <w:fldChar w:fldCharType="separate"/>
      </w:r>
      <w:r>
        <w:t>MSL977004 Develop or adapt analyses and procedures</w:t>
      </w:r>
      <w:r>
        <w:fldChar w:fldCharType="end"/>
      </w:r>
    </w:p>
    <w:p w:rsidR="000C3E5D" w:rsidP="000C3E5D">
      <w:pPr>
        <w:pStyle w:val="Version"/>
        <w:sectPr w:rsidSect="002770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70FD" w:rsidP="002770FD">
      <w:pPr>
        <w:pStyle w:val="SuperHeading"/>
      </w:pPr>
      <w:r w:rsidRPr="002770FD">
        <w:t>MSL977004 Develop or adapt analyses and procedures</w:t>
      </w:r>
    </w:p>
    <w:p w:rsidR="00000000" w:rsidRPr="002770FD" w:rsidP="002770FD">
      <w:pPr>
        <w:pStyle w:val="Heading1"/>
      </w:pPr>
      <w:bookmarkStart w:id="1" w:name="O_902142"/>
      <w:bookmarkEnd w:id="1"/>
      <w:r w:rsidRPr="002770FD">
        <w:t>Modification History</w:t>
      </w:r>
    </w:p>
    <w:p w:rsidR="00000000" w:rsidRPr="002770FD" w:rsidP="002770FD">
      <w:pPr>
        <w:pStyle w:val="BodyText"/>
      </w:pPr>
      <w:r w:rsidRPr="002770FD">
        <w:t>Release 1. Supersedes and is equivalent to MSL977004A Develop or adapt analyses and procedures</w:t>
      </w:r>
    </w:p>
    <w:p w:rsidR="00000000" w:rsidRPr="002770FD" w:rsidP="002770FD">
      <w:pPr>
        <w:pStyle w:val="AllowPageBreak"/>
      </w:pPr>
    </w:p>
    <w:p w:rsidR="00000000" w:rsidRPr="002770FD" w:rsidP="002770FD">
      <w:pPr>
        <w:pStyle w:val="Heading1"/>
      </w:pPr>
      <w:bookmarkStart w:id="2" w:name="O_902150"/>
      <w:bookmarkEnd w:id="2"/>
      <w:r w:rsidRPr="002770FD">
        <w:t>Application</w:t>
      </w:r>
    </w:p>
    <w:p w:rsidR="00000000" w:rsidRPr="002770FD" w:rsidP="002770FD">
      <w:pPr>
        <w:pStyle w:val="BodyText"/>
      </w:pPr>
      <w:r w:rsidRPr="002770FD">
        <w:t>This unit of competency covers the ability to develop or adapt analyses, including methods and procedur</w:t>
      </w:r>
      <w:r w:rsidRPr="002770FD">
        <w:t>es, to meet workplace and/or regulatory requirements. New analyses, methods and associated procedures may be required to meet a customer's brief, analyse new products or raw materials, improve laboratory efficiency or meet changing regulatory requirements.</w:t>
      </w:r>
    </w:p>
    <w:p w:rsidR="00000000" w:rsidRPr="002770FD" w:rsidP="002770FD">
      <w:pPr>
        <w:pStyle w:val="BodyText"/>
      </w:pPr>
    </w:p>
    <w:p w:rsidR="00000000" w:rsidRPr="002770FD" w:rsidP="002770FD">
      <w:pPr>
        <w:pStyle w:val="BodyText"/>
      </w:pPr>
      <w:r w:rsidRPr="002770FD">
        <w:t>This unit of competency is applicable to senior technical officers, laboratory supervisors and technical specialists working in all industry sectors. All operations must comply with relevant standards, appropriate procedures and/or workplace requirements</w:t>
      </w:r>
      <w:r w:rsidRPr="002770FD">
        <w:t>. The work may involve developing new testing methods or adapting existing methods to satisfy a testing need.</w:t>
      </w:r>
    </w:p>
    <w:p w:rsidR="00000000" w:rsidRPr="002770FD" w:rsidP="002770FD">
      <w:pPr>
        <w:pStyle w:val="BodyText"/>
      </w:pPr>
    </w:p>
    <w:p w:rsidR="00000000" w:rsidRPr="002770FD" w:rsidP="002770FD">
      <w:pPr>
        <w:pStyle w:val="BodyText"/>
      </w:pPr>
      <w:r w:rsidRPr="002770FD">
        <w:t>While no specific licensing or certification requirements apply to this unit at the time of publication, laboratory operations are governed by re</w:t>
      </w:r>
      <w:r w:rsidRPr="002770FD">
        <w:t>levant legislation, regulations and/or external accreditation requirements. Local requirements should be checked.</w:t>
      </w:r>
    </w:p>
    <w:p w:rsidR="00000000" w:rsidRPr="002770FD" w:rsidP="002770FD">
      <w:pPr>
        <w:pStyle w:val="AllowPageBreak"/>
      </w:pPr>
    </w:p>
    <w:p w:rsidR="00000000" w:rsidRPr="002770FD" w:rsidP="002770FD">
      <w:pPr>
        <w:pStyle w:val="Heading1"/>
      </w:pPr>
      <w:bookmarkStart w:id="3" w:name="O_902149"/>
      <w:bookmarkEnd w:id="3"/>
      <w:r w:rsidRPr="002770FD">
        <w:t>Pre-requisite Unit</w:t>
      </w:r>
    </w:p>
    <w:tbl>
      <w:tblPr>
        <w:tblW w:w="0" w:type="auto"/>
        <w:tblCellMar>
          <w:left w:w="62" w:type="dxa"/>
          <w:right w:w="62" w:type="dxa"/>
        </w:tblCellMar>
        <w:tblLook w:val="0000"/>
      </w:tblPr>
      <w:tblGrid>
        <w:gridCol w:w="2163"/>
        <w:gridCol w:w="7033"/>
      </w:tblGrid>
      <w:tr w:rsidTr="000C3E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MSL976003</w:t>
            </w:r>
          </w:p>
        </w:tc>
        <w:tc>
          <w:tcPr>
            <w:tcW w:w="0" w:type="auto"/>
            <w:tcBorders>
              <w:top w:val="nil"/>
              <w:left w:val="nil"/>
              <w:bottom w:val="nil"/>
              <w:right w:val="nil"/>
            </w:tcBorders>
            <w:tcMar>
              <w:top w:w="0" w:type="dxa"/>
              <w:left w:w="62" w:type="dxa"/>
              <w:bottom w:w="0" w:type="dxa"/>
              <w:right w:w="62" w:type="dxa"/>
            </w:tcMar>
          </w:tcPr>
          <w:p w:rsidR="00000000" w:rsidRPr="002770FD" w:rsidP="002770FD">
            <w:pPr>
              <w:pStyle w:val="BodyText"/>
            </w:pPr>
            <w:r w:rsidRPr="002770FD">
              <w:t>Evaluate and select appropriate test methods and/or procedures</w:t>
            </w:r>
          </w:p>
        </w:tc>
      </w:tr>
    </w:tbl>
    <w:p w:rsidR="00000000" w:rsidRPr="002770FD" w:rsidP="002770FD">
      <w:pPr>
        <w:pStyle w:val="BodyText"/>
      </w:pPr>
    </w:p>
    <w:p w:rsidR="00000000" w:rsidRPr="002770FD" w:rsidP="002770FD">
      <w:pPr>
        <w:pStyle w:val="AllowPageBreak"/>
      </w:pPr>
    </w:p>
    <w:p w:rsidR="00000000" w:rsidRPr="002770FD" w:rsidP="002770FD">
      <w:pPr>
        <w:pStyle w:val="Heading1"/>
      </w:pPr>
      <w:bookmarkStart w:id="4" w:name="O_902148"/>
      <w:bookmarkEnd w:id="4"/>
      <w:r w:rsidRPr="002770FD">
        <w:t>Competency Fie</w:t>
      </w:r>
      <w:r w:rsidRPr="002770FD">
        <w:t>ld</w:t>
      </w:r>
    </w:p>
    <w:p w:rsidR="00000000" w:rsidRPr="002770FD" w:rsidP="002770FD">
      <w:pPr>
        <w:pStyle w:val="BodyText"/>
      </w:pPr>
      <w:r w:rsidRPr="002770FD">
        <w:t>Testing</w:t>
      </w:r>
    </w:p>
    <w:p w:rsidR="00000000" w:rsidRPr="002770FD" w:rsidP="002770FD">
      <w:pPr>
        <w:pStyle w:val="AllowPageBreak"/>
      </w:pPr>
    </w:p>
    <w:p w:rsidR="00000000" w:rsidRPr="002770FD" w:rsidP="002770FD">
      <w:pPr>
        <w:pStyle w:val="Heading1"/>
      </w:pPr>
      <w:bookmarkStart w:id="5" w:name="O_902147"/>
      <w:bookmarkEnd w:id="5"/>
      <w:r w:rsidRPr="002770FD">
        <w:t>Unit Sector</w:t>
      </w:r>
    </w:p>
    <w:p w:rsidR="00000000" w:rsidRPr="002770FD" w:rsidP="002770FD">
      <w:pPr>
        <w:pStyle w:val="Heading1"/>
      </w:pPr>
      <w:bookmarkStart w:id="6" w:name="O_902146"/>
      <w:bookmarkEnd w:id="6"/>
      <w:r w:rsidRPr="002770F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770F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Performance criteria describe the performance needed to demonstrate achievement of the element.</w:t>
            </w:r>
          </w:p>
        </w:tc>
      </w:tr>
      <w:tr w:rsidTr="002770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770FD" w:rsidP="002770FD">
            <w:pPr>
              <w:pStyle w:val="BodyText"/>
            </w:pPr>
            <w:r w:rsidRPr="002770FD">
              <w:t>1</w:t>
            </w:r>
          </w:p>
        </w:tc>
        <w:tc>
          <w:tcPr>
            <w:tcW w:w="1962" w:type="dxa"/>
            <w:vMerge w:val="restart"/>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rPr>
                <w:rStyle w:val="SpecialBold"/>
              </w:rPr>
              <w:t>Determine gaps and deficiencies in present methods and procedures</w:t>
            </w:r>
          </w:p>
        </w:tc>
        <w:tc>
          <w:tcPr>
            <w:tcW w:w="77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1.1</w:t>
            </w:r>
          </w:p>
        </w:tc>
        <w:tc>
          <w:tcPr>
            <w:tcW w:w="561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Identify opportunities to improve analyses and procedures</w:t>
            </w:r>
          </w:p>
        </w:tc>
      </w:tr>
      <w:tr w:rsidTr="002770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1.2</w:t>
            </w:r>
          </w:p>
        </w:tc>
        <w:tc>
          <w:tcPr>
            <w:tcW w:w="561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Identify requirements for new analyses and procedures to meet testing briefs</w:t>
            </w:r>
          </w:p>
        </w:tc>
      </w:tr>
      <w:tr w:rsidTr="002770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1.3</w:t>
            </w:r>
          </w:p>
        </w:tc>
        <w:tc>
          <w:tcPr>
            <w:tcW w:w="561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Define the scope of analysis required by the improvement or new testing brief</w:t>
            </w:r>
          </w:p>
        </w:tc>
      </w:tr>
      <w:tr w:rsidTr="002770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1.4</w:t>
            </w:r>
          </w:p>
        </w:tc>
        <w:tc>
          <w:tcPr>
            <w:tcW w:w="561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Establish that existing workplace test methods/procedures do not meet requirements</w:t>
            </w:r>
          </w:p>
        </w:tc>
      </w:tr>
      <w:tr w:rsidTr="002770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1.5</w:t>
            </w:r>
          </w:p>
        </w:tc>
        <w:tc>
          <w:tcPr>
            <w:tcW w:w="561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Prepare development proposal</w:t>
            </w:r>
          </w:p>
        </w:tc>
      </w:tr>
      <w:tr w:rsidTr="002770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1.6</w:t>
            </w:r>
          </w:p>
        </w:tc>
        <w:tc>
          <w:tcPr>
            <w:tcW w:w="561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Confirm development requirements and developm</w:t>
            </w:r>
            <w:r w:rsidRPr="002770FD">
              <w:t>ent proposal with appropriate personnel</w:t>
            </w:r>
          </w:p>
        </w:tc>
      </w:tr>
      <w:tr w:rsidTr="002770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1.7</w:t>
            </w:r>
          </w:p>
        </w:tc>
        <w:tc>
          <w:tcPr>
            <w:tcW w:w="561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Obtain authorisation to proceed</w:t>
            </w:r>
          </w:p>
        </w:tc>
      </w:tr>
      <w:tr w:rsidTr="002770F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770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770FD" w:rsidP="002770FD">
            <w:pPr>
              <w:pStyle w:val="BodyText"/>
            </w:pPr>
            <w:r w:rsidRPr="002770FD">
              <w:t>2</w:t>
            </w:r>
          </w:p>
        </w:tc>
        <w:tc>
          <w:tcPr>
            <w:tcW w:w="1962" w:type="dxa"/>
            <w:vMerge w:val="restart"/>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rPr>
                <w:rStyle w:val="SpecialBold"/>
              </w:rPr>
              <w:t>Research and propose alternatives</w:t>
            </w:r>
          </w:p>
        </w:tc>
        <w:tc>
          <w:tcPr>
            <w:tcW w:w="77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2.1</w:t>
            </w:r>
          </w:p>
        </w:tc>
        <w:tc>
          <w:tcPr>
            <w:tcW w:w="561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Source relevant documented methods/procedures</w:t>
            </w:r>
          </w:p>
        </w:tc>
      </w:tr>
      <w:tr w:rsidTr="002770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2.2</w:t>
            </w:r>
          </w:p>
        </w:tc>
        <w:tc>
          <w:tcPr>
            <w:tcW w:w="561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Review relevant documented methods/procedures according to workplace procedures</w:t>
            </w:r>
          </w:p>
        </w:tc>
      </w:tr>
      <w:tr w:rsidTr="002770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2.3</w:t>
            </w:r>
          </w:p>
        </w:tc>
        <w:tc>
          <w:tcPr>
            <w:tcW w:w="561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Consult with relevant technical personnel regarding project development issues</w:t>
            </w:r>
          </w:p>
        </w:tc>
      </w:tr>
      <w:tr w:rsidTr="002770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2.4</w:t>
            </w:r>
          </w:p>
        </w:tc>
        <w:tc>
          <w:tcPr>
            <w:tcW w:w="561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Evaluate resource requirements for proposed methods/procedures</w:t>
            </w:r>
          </w:p>
        </w:tc>
      </w:tr>
      <w:tr w:rsidTr="002770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2.5</w:t>
            </w:r>
          </w:p>
        </w:tc>
        <w:tc>
          <w:tcPr>
            <w:tcW w:w="561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Ensure that methods/procedures meet work health and safety (WHS), environmental, regulatory and workplace requirements</w:t>
            </w:r>
          </w:p>
        </w:tc>
      </w:tr>
      <w:tr w:rsidTr="002770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2.6</w:t>
            </w:r>
          </w:p>
        </w:tc>
        <w:tc>
          <w:tcPr>
            <w:tcW w:w="561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Document development requirements, timelines and proposed methods/procedures</w:t>
            </w:r>
          </w:p>
        </w:tc>
      </w:tr>
      <w:tr w:rsidTr="002770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2.7</w:t>
            </w:r>
          </w:p>
        </w:tc>
        <w:tc>
          <w:tcPr>
            <w:tcW w:w="561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Obtain authorisation to proceed</w:t>
            </w:r>
          </w:p>
        </w:tc>
      </w:tr>
      <w:tr w:rsidTr="002770F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770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770FD" w:rsidP="002770FD">
            <w:pPr>
              <w:pStyle w:val="BodyText"/>
            </w:pPr>
            <w:r w:rsidRPr="002770FD">
              <w:t>3</w:t>
            </w:r>
          </w:p>
        </w:tc>
        <w:tc>
          <w:tcPr>
            <w:tcW w:w="1962" w:type="dxa"/>
            <w:vMerge w:val="restart"/>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rPr>
                <w:rStyle w:val="SpecialBold"/>
              </w:rPr>
              <w:t>Evaluate alternatives, develop analyses and recommend methods and procedures</w:t>
            </w:r>
          </w:p>
        </w:tc>
        <w:tc>
          <w:tcPr>
            <w:tcW w:w="77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3.1</w:t>
            </w:r>
          </w:p>
        </w:tc>
        <w:tc>
          <w:tcPr>
            <w:tcW w:w="561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Investigate possible alternative methods and procedures and choose appropriate method/procedure</w:t>
            </w:r>
          </w:p>
        </w:tc>
      </w:tr>
      <w:tr w:rsidTr="002770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3.2</w:t>
            </w:r>
          </w:p>
        </w:tc>
        <w:tc>
          <w:tcPr>
            <w:tcW w:w="561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Develop and/or adapt analytical method or test procedure to meet require</w:t>
            </w:r>
            <w:r w:rsidRPr="002770FD">
              <w:t>ments</w:t>
            </w:r>
          </w:p>
        </w:tc>
      </w:tr>
      <w:tr w:rsidTr="002770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3.3</w:t>
            </w:r>
          </w:p>
        </w:tc>
        <w:tc>
          <w:tcPr>
            <w:tcW w:w="561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Trial method/procedure against test method/procedure requirements</w:t>
            </w:r>
          </w:p>
        </w:tc>
      </w:tr>
      <w:tr w:rsidTr="002770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3.4</w:t>
            </w:r>
          </w:p>
        </w:tc>
        <w:tc>
          <w:tcPr>
            <w:tcW w:w="561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Validate method/procedure</w:t>
            </w:r>
          </w:p>
        </w:tc>
      </w:tr>
      <w:tr w:rsidTr="002770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3.5</w:t>
            </w:r>
          </w:p>
        </w:tc>
        <w:tc>
          <w:tcPr>
            <w:tcW w:w="561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Maintain records to substantiate and justify chosen method/procedure</w:t>
            </w:r>
          </w:p>
        </w:tc>
      </w:tr>
      <w:tr w:rsidTr="002770F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770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770FD" w:rsidP="002770FD">
            <w:pPr>
              <w:pStyle w:val="BodyText"/>
            </w:pPr>
            <w:r w:rsidRPr="002770FD">
              <w:t>4</w:t>
            </w:r>
          </w:p>
        </w:tc>
        <w:tc>
          <w:tcPr>
            <w:tcW w:w="1962" w:type="dxa"/>
            <w:vMerge w:val="restart"/>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rPr>
                <w:rStyle w:val="SpecialBold"/>
              </w:rPr>
              <w:t>Document and report new methods and procedure</w:t>
            </w:r>
          </w:p>
        </w:tc>
        <w:tc>
          <w:tcPr>
            <w:tcW w:w="77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4.1</w:t>
            </w:r>
          </w:p>
        </w:tc>
        <w:tc>
          <w:tcPr>
            <w:tcW w:w="561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Prepare and/or update analytical method/procedure and associated standard operating procedures (SOPs)</w:t>
            </w:r>
          </w:p>
        </w:tc>
      </w:tr>
      <w:tr w:rsidTr="002770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4.2</w:t>
            </w:r>
          </w:p>
        </w:tc>
        <w:tc>
          <w:tcPr>
            <w:tcW w:w="561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Obtain final approval for new method/procedure</w:t>
            </w:r>
          </w:p>
        </w:tc>
      </w:tr>
      <w:tr w:rsidTr="002770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4.3</w:t>
            </w:r>
          </w:p>
        </w:tc>
        <w:tc>
          <w:tcPr>
            <w:tcW w:w="561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Withdraw, document and archive superseded method/procedure</w:t>
            </w:r>
          </w:p>
        </w:tc>
      </w:tr>
      <w:tr w:rsidTr="002770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4.4</w:t>
            </w:r>
          </w:p>
        </w:tc>
        <w:tc>
          <w:tcPr>
            <w:tcW w:w="5610" w:type="dxa"/>
            <w:tcBorders>
              <w:top w:val="nil"/>
              <w:left w:val="nil"/>
              <w:bottom w:val="nil"/>
              <w:right w:val="nil"/>
            </w:tcBorders>
            <w:tcMar>
              <w:top w:w="0" w:type="dxa"/>
              <w:left w:w="62" w:type="dxa"/>
              <w:bottom w:w="0" w:type="dxa"/>
              <w:right w:w="62" w:type="dxa"/>
            </w:tcMar>
          </w:tcPr>
          <w:p w:rsidR="00000000" w:rsidRPr="002770FD" w:rsidP="002770FD">
            <w:pPr>
              <w:pStyle w:val="BodyText"/>
            </w:pPr>
            <w:r w:rsidRPr="002770FD">
              <w:t>Issue new method/procedure according to workplace procedures</w:t>
            </w:r>
          </w:p>
        </w:tc>
      </w:tr>
    </w:tbl>
    <w:p w:rsidR="00000000" w:rsidRPr="002770FD" w:rsidP="002770FD">
      <w:pPr>
        <w:pStyle w:val="BodyText"/>
      </w:pPr>
    </w:p>
    <w:p w:rsidR="00000000" w:rsidRPr="002770FD" w:rsidP="002770FD">
      <w:pPr>
        <w:pStyle w:val="AllowPageBreak"/>
      </w:pPr>
    </w:p>
    <w:p w:rsidR="00000000" w:rsidRPr="002770FD" w:rsidP="002770FD">
      <w:pPr>
        <w:pStyle w:val="Heading1"/>
      </w:pPr>
      <w:bookmarkStart w:id="7" w:name="O_902145"/>
      <w:bookmarkEnd w:id="7"/>
      <w:r w:rsidRPr="002770FD">
        <w:t>Foundation Skills</w:t>
      </w:r>
    </w:p>
    <w:p w:rsidR="00000000" w:rsidRPr="002770FD" w:rsidP="002770FD">
      <w:pPr>
        <w:pStyle w:val="BodyText"/>
      </w:pPr>
      <w:r w:rsidRPr="002770FD">
        <w:t>This section describes those language, literacy, numeracy and employment skills that are essential to performance.</w:t>
      </w:r>
    </w:p>
    <w:p w:rsidR="00000000" w:rsidRPr="002770FD" w:rsidP="002770FD">
      <w:pPr>
        <w:pStyle w:val="BodyText"/>
      </w:pPr>
    </w:p>
    <w:p w:rsidR="00000000" w:rsidRPr="002770FD" w:rsidP="002770FD">
      <w:pPr>
        <w:pStyle w:val="BodyText"/>
      </w:pPr>
      <w:r w:rsidRPr="002770FD">
        <w:t>Foundation skills essential to performance</w:t>
      </w:r>
      <w:r w:rsidRPr="002770FD">
        <w:t xml:space="preserve"> are explicit in the performance criteria of this unit of competency.</w:t>
      </w:r>
    </w:p>
    <w:p w:rsidR="00000000" w:rsidRPr="002770FD" w:rsidP="002770FD">
      <w:pPr>
        <w:pStyle w:val="AllowPageBreak"/>
      </w:pPr>
    </w:p>
    <w:p w:rsidR="00000000" w:rsidRPr="002770FD" w:rsidP="002770FD">
      <w:pPr>
        <w:pStyle w:val="Heading1"/>
      </w:pPr>
      <w:bookmarkStart w:id="8" w:name="O_902144"/>
      <w:bookmarkEnd w:id="8"/>
      <w:r w:rsidRPr="002770FD">
        <w:t>Range of Conditions</w:t>
      </w:r>
    </w:p>
    <w:tbl>
      <w:tblPr>
        <w:tblW w:w="0" w:type="auto"/>
        <w:tblCellMar>
          <w:left w:w="62" w:type="dxa"/>
          <w:right w:w="62" w:type="dxa"/>
        </w:tblCellMar>
        <w:tblLook w:val="0000"/>
      </w:tblPr>
      <w:tblGrid>
        <w:gridCol w:w="2163"/>
        <w:gridCol w:w="7033"/>
      </w:tblGrid>
      <w:tr w:rsidTr="000C3E5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t>This field allows for different work environments and conditions that may affect performance. Essential operating conditions that may be present (dep</w:t>
            </w:r>
            <w:r w:rsidRPr="002770FD">
              <w:t>ending on the work situation, needs of the candidate, accessibility of the item, and local industry and regional contexts) are included.</w:t>
            </w:r>
          </w:p>
        </w:tc>
      </w:tr>
      <w:tr w:rsidTr="000C3E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2770FD" w:rsidP="002770FD">
            <w:pPr>
              <w:pStyle w:val="BodyText"/>
            </w:pPr>
            <w:r w:rsidRPr="002770FD">
              <w:t>Standards, codes, procedures and/or workplace requirements include the latest version of one or more of:</w:t>
            </w:r>
          </w:p>
          <w:p w:rsidR="00000000" w:rsidRPr="002770FD" w:rsidP="002770FD">
            <w:pPr>
              <w:pStyle w:val="ListBullet"/>
            </w:pPr>
            <w:r w:rsidRPr="002770FD">
              <w:t>Australian and international standards covering the requirements for the competence of testing and calibration laboratories, laboratory safety, qualit</w:t>
            </w:r>
            <w:r w:rsidRPr="002770FD">
              <w:t>y and environmental management systems, and measurement management systems</w:t>
            </w:r>
          </w:p>
          <w:p w:rsidR="00000000" w:rsidRPr="002770FD" w:rsidP="002770FD">
            <w:pPr>
              <w:pStyle w:val="ListBullet"/>
            </w:pPr>
            <w:r w:rsidRPr="002770FD">
              <w:t>national WHS standards and codes of practice, and national measurement regulations and guidelines</w:t>
            </w:r>
          </w:p>
          <w:p w:rsidR="00000000" w:rsidRPr="002770FD" w:rsidP="002770FD">
            <w:pPr>
              <w:pStyle w:val="ListBullet"/>
            </w:pPr>
            <w:r w:rsidRPr="002770FD">
              <w:t>Australian and international standards and guidelines covering specialised analysis</w:t>
            </w:r>
            <w:r w:rsidRPr="002770FD">
              <w:t>, accuracy of measurement methods and results, expression of uncertainty, quantifying uncertainty, and Association of Analytical Communities International (AOAC International) Official Methods of Analysis</w:t>
            </w:r>
          </w:p>
          <w:p w:rsidR="00000000" w:rsidRPr="002770FD" w:rsidP="002770FD">
            <w:pPr>
              <w:pStyle w:val="ListBullet"/>
            </w:pPr>
            <w:r w:rsidRPr="002770FD">
              <w:t>specific codes, guidelines, procedures and methods,</w:t>
            </w:r>
            <w:r w:rsidRPr="002770FD">
              <w:t xml:space="preserve"> such as National Association of Testing Authorities (NATA) accreditation programs requirements, Australian code of good manufacturing practice for medicinal products (GMP), principles of good laboratory practice (GLP), Food Standards Australia New Zealand</w:t>
            </w:r>
            <w:r w:rsidRPr="002770FD">
              <w:t xml:space="preserve"> (FSANZ) Code, Australian Dangerous Goods Code, gene technology regulations, National Health and Medical Research Council (NHMRC) Guidelines, and Therapeutic Goods Regulations</w:t>
            </w:r>
          </w:p>
          <w:p w:rsidR="00000000" w:rsidRPr="002770FD" w:rsidP="002770FD">
            <w:pPr>
              <w:pStyle w:val="ListBullet"/>
            </w:pPr>
            <w:r w:rsidRPr="002770FD">
              <w:t>workplace documents, such as methods and procedures; quality and equipment manua</w:t>
            </w:r>
            <w:r w:rsidRPr="002770FD">
              <w:t xml:space="preserve">ls; calibration and maintenance schedules; material safety data sheets (MSDS) and safety procedures; material, production and product specifications; production and laboratory schedules; workplace recording and reporting procedures; waste minimisation and </w:t>
            </w:r>
            <w:r w:rsidRPr="002770FD">
              <w:t>safe disposal procedures; cleaning, hygiene and personal hygiene requirements; stock records and inventory</w:t>
            </w:r>
          </w:p>
          <w:p w:rsidR="00000000" w:rsidP="002770FD">
            <w:pPr>
              <w:pStyle w:val="BodyText"/>
              <w:rPr>
                <w:lang w:val="en-NZ"/>
              </w:rPr>
            </w:pPr>
          </w:p>
        </w:tc>
      </w:tr>
      <w:tr w:rsidTr="000C3E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rPr>
                <w:rStyle w:val="SpecialBold"/>
              </w:rPr>
              <w:t xml:space="preserve">New methods and related procedures </w:t>
            </w:r>
          </w:p>
        </w:tc>
        <w:tc>
          <w:tcPr>
            <w:tcW w:w="0" w:type="auto"/>
            <w:tcBorders>
              <w:top w:val="nil"/>
              <w:left w:val="nil"/>
              <w:bottom w:val="nil"/>
              <w:right w:val="nil"/>
            </w:tcBorders>
            <w:tcMar>
              <w:top w:w="0" w:type="dxa"/>
              <w:left w:w="62" w:type="dxa"/>
              <w:bottom w:w="0" w:type="dxa"/>
              <w:right w:w="62" w:type="dxa"/>
            </w:tcMar>
          </w:tcPr>
          <w:p w:rsidR="00000000" w:rsidRPr="002770FD" w:rsidP="002770FD">
            <w:pPr>
              <w:pStyle w:val="BodyText"/>
            </w:pPr>
            <w:r w:rsidRPr="002770FD">
              <w:t>New methods of analysis and related procedures are required for one or more of the following reasons:</w:t>
            </w:r>
          </w:p>
          <w:p w:rsidR="00000000" w:rsidRPr="002770FD" w:rsidP="002770FD">
            <w:pPr>
              <w:pStyle w:val="ListBullet"/>
            </w:pPr>
            <w:r w:rsidRPr="002770FD">
              <w:t>analysis of raw materials</w:t>
            </w:r>
          </w:p>
          <w:p w:rsidR="00000000" w:rsidRPr="002770FD" w:rsidP="002770FD">
            <w:pPr>
              <w:pStyle w:val="ListBullet"/>
            </w:pPr>
            <w:r w:rsidRPr="002770FD">
              <w:t xml:space="preserve">quality control or evaluation of the stability of products </w:t>
            </w:r>
          </w:p>
          <w:p w:rsidR="00000000" w:rsidRPr="002770FD" w:rsidP="002770FD">
            <w:pPr>
              <w:pStyle w:val="ListBullet"/>
            </w:pPr>
            <w:r w:rsidRPr="002770FD">
              <w:t xml:space="preserve">quality control or evaluation of the stability of new formulations of existing products </w:t>
            </w:r>
          </w:p>
          <w:p w:rsidR="00000000" w:rsidRPr="002770FD" w:rsidP="002770FD">
            <w:pPr>
              <w:pStyle w:val="ListBullet"/>
            </w:pPr>
            <w:r w:rsidRPr="002770FD">
              <w:t xml:space="preserve">introduction of new technology </w:t>
            </w:r>
          </w:p>
          <w:p w:rsidR="00000000" w:rsidRPr="002770FD" w:rsidP="002770FD">
            <w:pPr>
              <w:pStyle w:val="ListBullet"/>
            </w:pPr>
            <w:r w:rsidRPr="002770FD">
              <w:t>to meet regulatory requirements</w:t>
            </w:r>
          </w:p>
          <w:p w:rsidR="00000000" w:rsidRPr="002770FD" w:rsidP="002770FD">
            <w:pPr>
              <w:pStyle w:val="ListBullet"/>
            </w:pPr>
            <w:r w:rsidRPr="002770FD">
              <w:t xml:space="preserve">to meet customer </w:t>
            </w:r>
            <w:r w:rsidRPr="002770FD">
              <w:t>requirements</w:t>
            </w:r>
          </w:p>
          <w:p w:rsidR="00000000" w:rsidRPr="002770FD" w:rsidP="002770FD">
            <w:pPr>
              <w:pStyle w:val="ListBullet"/>
            </w:pPr>
            <w:r w:rsidRPr="002770FD">
              <w:t>improvement of productivity</w:t>
            </w:r>
          </w:p>
          <w:p w:rsidR="00000000" w:rsidRPr="002770FD" w:rsidP="002770FD">
            <w:pPr>
              <w:pStyle w:val="ListBullet"/>
            </w:pPr>
            <w:r w:rsidRPr="002770FD">
              <w:t>improvement of accuracy and precision</w:t>
            </w:r>
          </w:p>
          <w:p w:rsidR="00000000" w:rsidP="002770FD">
            <w:pPr>
              <w:pStyle w:val="BodyText"/>
              <w:rPr>
                <w:lang w:val="en-NZ"/>
              </w:rPr>
            </w:pPr>
          </w:p>
        </w:tc>
      </w:tr>
      <w:tr w:rsidTr="000C3E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rPr>
                <w:rStyle w:val="SpecialBold"/>
              </w:rPr>
              <w:t xml:space="preserve">Analyses </w:t>
            </w:r>
          </w:p>
        </w:tc>
        <w:tc>
          <w:tcPr>
            <w:tcW w:w="0" w:type="auto"/>
            <w:tcBorders>
              <w:top w:val="nil"/>
              <w:left w:val="nil"/>
              <w:bottom w:val="nil"/>
              <w:right w:val="nil"/>
            </w:tcBorders>
            <w:tcMar>
              <w:top w:w="0" w:type="dxa"/>
              <w:left w:w="62" w:type="dxa"/>
              <w:bottom w:w="0" w:type="dxa"/>
              <w:right w:w="62" w:type="dxa"/>
            </w:tcMar>
          </w:tcPr>
          <w:p w:rsidR="00000000" w:rsidRPr="002770FD" w:rsidP="002770FD">
            <w:pPr>
              <w:pStyle w:val="BodyText"/>
            </w:pPr>
            <w:r w:rsidRPr="002770FD">
              <w:t>Analyses include, but are not limited to, one or more of:</w:t>
            </w:r>
          </w:p>
          <w:p w:rsidR="00000000" w:rsidRPr="002770FD" w:rsidP="002770FD">
            <w:pPr>
              <w:pStyle w:val="ListBullet"/>
            </w:pPr>
            <w:r w:rsidRPr="002770FD">
              <w:t>non-instrumental methods, such as gravimetric, titrimetric and qualitative tests</w:t>
            </w:r>
          </w:p>
          <w:p w:rsidR="00000000" w:rsidRPr="002770FD" w:rsidP="002770FD">
            <w:pPr>
              <w:pStyle w:val="ListBullet"/>
            </w:pPr>
            <w:r w:rsidRPr="002770FD">
              <w:t>spectrometric methods, such as ultraviolet-visible (UV-VIS), infrared (IR) (including Fourier transform infrared (FTIR)), near infrared (NIR), atomic absorption (AA) and fluorescence)</w:t>
            </w:r>
          </w:p>
          <w:p w:rsidR="00000000" w:rsidRPr="002770FD" w:rsidP="002770FD">
            <w:pPr>
              <w:pStyle w:val="ListBullet"/>
            </w:pPr>
            <w:r w:rsidRPr="002770FD">
              <w:t>chromatographic methods, such as thin layer, paper, gas chromatography (</w:t>
            </w:r>
            <w:r w:rsidRPr="002770FD">
              <w:t>GC), high performance liquid chromatography (HPLC), ion chromatography (IC) and electrophoresis</w:t>
            </w:r>
          </w:p>
          <w:p w:rsidR="00000000" w:rsidRPr="002770FD" w:rsidP="002770FD">
            <w:pPr>
              <w:pStyle w:val="ListBullet"/>
            </w:pPr>
            <w:r w:rsidRPr="002770FD">
              <w:t>electrochemical methods, such as ion-selective electrodes and polarography</w:t>
            </w:r>
          </w:p>
          <w:p w:rsidR="00000000" w:rsidRPr="002770FD" w:rsidP="002770FD">
            <w:pPr>
              <w:pStyle w:val="ListBullet"/>
            </w:pPr>
            <w:r w:rsidRPr="002770FD">
              <w:t>assays based on biological properties or cell properties for enzyme antibody activity</w:t>
            </w:r>
          </w:p>
          <w:p w:rsidR="00000000" w:rsidP="002770FD">
            <w:pPr>
              <w:pStyle w:val="BodyText"/>
              <w:rPr>
                <w:lang w:val="en-NZ"/>
              </w:rPr>
            </w:pPr>
          </w:p>
        </w:tc>
      </w:tr>
      <w:tr w:rsidTr="000C3E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70FD">
            <w:pPr>
              <w:pStyle w:val="BodyText"/>
              <w:rPr>
                <w:lang w:val="en-NZ"/>
              </w:rPr>
            </w:pPr>
            <w:r w:rsidRPr="002770FD">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2770FD" w:rsidP="002770FD">
            <w:pPr>
              <w:pStyle w:val="BodyText"/>
            </w:pPr>
            <w:r w:rsidRPr="002770FD">
              <w:t>WHS and environmental management requirements include:</w:t>
            </w:r>
          </w:p>
          <w:p w:rsidR="00000000" w:rsidRPr="002770FD" w:rsidP="002770FD">
            <w:pPr>
              <w:pStyle w:val="BodyText"/>
            </w:pPr>
            <w:r w:rsidRPr="002770FD">
              <w:rPr>
                <w:rStyle w:val="Symbols"/>
              </w:rPr>
              <w:t></w:t>
            </w:r>
            <w:r w:rsidRPr="002770FD">
              <w:rPr>
                <w:rStyle w:val="Symbols"/>
              </w:rPr>
              <w:tab/>
            </w:r>
            <w:r w:rsidRPr="002770FD">
              <w:t>complying with WHS and environmental management requirements at all times, which may be imposed through state/territory or federal legislation. These</w:t>
            </w:r>
            <w:r w:rsidRPr="002770FD">
              <w:t xml:space="preserve"> requirements must not be compromised at any time</w:t>
            </w:r>
          </w:p>
          <w:p w:rsidR="00000000" w:rsidRPr="002770FD" w:rsidP="002770FD">
            <w:pPr>
              <w:pStyle w:val="BodyText"/>
            </w:pPr>
            <w:r w:rsidRPr="002770FD">
              <w:rPr>
                <w:rStyle w:val="Symbols"/>
              </w:rPr>
              <w:t></w:t>
            </w:r>
            <w:r w:rsidRPr="002770FD">
              <w:rPr>
                <w:rStyle w:val="Symbols"/>
              </w:rPr>
              <w:tab/>
            </w:r>
            <w:r w:rsidRPr="002770FD">
              <w:t>applying standard precautions relating to the potentially hazardous nature of samples</w:t>
            </w:r>
          </w:p>
          <w:p w:rsidR="00000000" w:rsidRPr="002770FD" w:rsidP="002770FD">
            <w:pPr>
              <w:pStyle w:val="ListBullet"/>
            </w:pPr>
            <w:r w:rsidRPr="002770FD">
              <w:t xml:space="preserve">accessing and applying current industry understanding of infection control issued by the National Health and Medical </w:t>
            </w:r>
            <w:r w:rsidRPr="002770FD">
              <w:t>Research Council (NHMRC) and State and Territory Departments of Health, where relevant</w:t>
            </w:r>
          </w:p>
        </w:tc>
      </w:tr>
    </w:tbl>
    <w:p w:rsidR="00000000" w:rsidRPr="002770FD" w:rsidP="002770FD">
      <w:pPr>
        <w:pStyle w:val="BodyText"/>
      </w:pPr>
    </w:p>
    <w:p w:rsidR="00000000" w:rsidRPr="002770FD" w:rsidP="002770FD">
      <w:pPr>
        <w:pStyle w:val="AllowPageBreak"/>
      </w:pPr>
    </w:p>
    <w:p w:rsidR="00000000" w:rsidRPr="002770FD" w:rsidP="002770FD">
      <w:pPr>
        <w:pStyle w:val="Heading1"/>
      </w:pPr>
      <w:bookmarkStart w:id="9" w:name="O_902143"/>
      <w:bookmarkEnd w:id="9"/>
      <w:r w:rsidRPr="002770FD">
        <w:t>Unit Mapping Information</w:t>
      </w:r>
    </w:p>
    <w:p w:rsidR="00000000" w:rsidRPr="002770FD" w:rsidP="002770FD">
      <w:pPr>
        <w:pStyle w:val="BodyText"/>
      </w:pPr>
      <w:r w:rsidRPr="002770FD">
        <w:t>Release 1. Supersedes and is equivalent to MSL977004A Develop or adapt analyses and procedures</w:t>
      </w:r>
    </w:p>
    <w:p w:rsidR="00000000" w:rsidRPr="002770FD" w:rsidP="002770FD">
      <w:pPr>
        <w:pStyle w:val="AllowPageBreak"/>
      </w:pPr>
    </w:p>
    <w:p w:rsidR="00000000" w:rsidRPr="002770FD" w:rsidP="002770FD">
      <w:pPr>
        <w:pStyle w:val="Heading1"/>
      </w:pPr>
      <w:bookmarkStart w:id="10" w:name="O_902136"/>
      <w:bookmarkEnd w:id="10"/>
      <w:r w:rsidRPr="002770FD">
        <w:t>Links</w:t>
      </w:r>
    </w:p>
    <w:p w:rsidR="00000000" w:rsidRPr="002770FD" w:rsidP="002770FD">
      <w:pPr>
        <w:pStyle w:val="BodyText"/>
      </w:pPr>
      <w:r w:rsidRPr="002770FD">
        <w:t>MSA Training Package Implementation Guides - http://mskills.org.au/training-packages/info/</w:t>
      </w:r>
    </w:p>
    <w:p w:rsidR="00000000" w:rsidRPr="002770FD" w:rsidP="002770FD"/>
    <w:sectPr w:rsidSect="002770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0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0FD" w:rsidRPr="000C3E5D" w:rsidP="000C3E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0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E5D" w:rsidP="002770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C3E5D" w:rsidP="002770F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C3E5D" w:rsidP="002770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0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0FD" w:rsidRPr="000C3E5D" w:rsidP="000C3E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0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E5D" w:rsidRPr="002D2AF8" w:rsidP="002770FD">
    <w:pPr>
      <w:pStyle w:val="Header"/>
      <w:framePr w:wrap="around"/>
    </w:pPr>
    <w:r>
      <w:fldChar w:fldCharType="begin"/>
    </w:r>
    <w:r>
      <w:instrText xml:space="preserve"> TITLE   \* MERGEFORMAT </w:instrText>
    </w:r>
    <w:r>
      <w:fldChar w:fldCharType="separate"/>
    </w:r>
    <w:r>
      <w:t>MSL977004 Develop or adapt analyses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0C3E5D" w:rsidP="002770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983D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FCCA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0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70FD"/>
    <w:pPr>
      <w:spacing w:before="360" w:after="60"/>
      <w:outlineLvl w:val="0"/>
    </w:pPr>
    <w:rPr>
      <w:sz w:val="32"/>
    </w:rPr>
  </w:style>
  <w:style w:type="paragraph" w:styleId="Heading2">
    <w:name w:val="heading 2"/>
    <w:basedOn w:val="HeadingBase"/>
    <w:next w:val="BodyText"/>
    <w:link w:val="Heading2Char"/>
    <w:qFormat/>
    <w:rsid w:val="002770FD"/>
    <w:pPr>
      <w:keepLines/>
      <w:spacing w:before="240" w:after="120"/>
      <w:outlineLvl w:val="1"/>
    </w:pPr>
    <w:rPr>
      <w:sz w:val="28"/>
      <w:szCs w:val="40"/>
    </w:rPr>
  </w:style>
  <w:style w:type="paragraph" w:styleId="Heading3">
    <w:name w:val="heading 3"/>
    <w:basedOn w:val="HeadingBase"/>
    <w:next w:val="BodyText"/>
    <w:link w:val="Heading3Char"/>
    <w:qFormat/>
    <w:rsid w:val="002770FD"/>
    <w:pPr>
      <w:spacing w:before="180" w:after="120"/>
      <w:outlineLvl w:val="2"/>
    </w:pPr>
    <w:rPr>
      <w:spacing w:val="-10"/>
      <w:kern w:val="32"/>
    </w:rPr>
  </w:style>
  <w:style w:type="paragraph" w:styleId="Heading4">
    <w:name w:val="heading 4"/>
    <w:basedOn w:val="HeadingBase"/>
    <w:next w:val="BodyText"/>
    <w:link w:val="Heading4Char"/>
    <w:qFormat/>
    <w:rsid w:val="002770FD"/>
    <w:pPr>
      <w:spacing w:before="160" w:after="120"/>
      <w:outlineLvl w:val="3"/>
    </w:pPr>
    <w:rPr>
      <w:sz w:val="22"/>
    </w:rPr>
  </w:style>
  <w:style w:type="paragraph" w:styleId="Heading5">
    <w:name w:val="heading 5"/>
    <w:basedOn w:val="HeadingBase"/>
    <w:next w:val="Normal"/>
    <w:link w:val="Heading5Char"/>
    <w:qFormat/>
    <w:rsid w:val="002770FD"/>
    <w:pPr>
      <w:spacing w:before="80"/>
      <w:outlineLvl w:val="4"/>
    </w:pPr>
    <w:rPr>
      <w:color w:val="918585"/>
      <w:sz w:val="20"/>
    </w:rPr>
  </w:style>
  <w:style w:type="paragraph" w:styleId="Heading6">
    <w:name w:val="heading 6"/>
    <w:basedOn w:val="HeadingBase"/>
    <w:next w:val="Normal"/>
    <w:link w:val="Heading6Char"/>
    <w:qFormat/>
    <w:rsid w:val="002770FD"/>
    <w:pPr>
      <w:spacing w:before="60"/>
      <w:outlineLvl w:val="5"/>
    </w:pPr>
    <w:rPr>
      <w:color w:val="918585"/>
      <w:sz w:val="20"/>
    </w:rPr>
  </w:style>
  <w:style w:type="paragraph" w:styleId="Heading7">
    <w:name w:val="heading 7"/>
    <w:basedOn w:val="Normal"/>
    <w:next w:val="Normal"/>
    <w:link w:val="Heading7Char"/>
    <w:qFormat/>
    <w:rsid w:val="002770FD"/>
    <w:pPr>
      <w:ind w:left="720"/>
      <w:outlineLvl w:val="6"/>
    </w:pPr>
    <w:rPr>
      <w:i/>
    </w:rPr>
  </w:style>
  <w:style w:type="paragraph" w:styleId="Heading8">
    <w:name w:val="heading 8"/>
    <w:basedOn w:val="Normal"/>
    <w:next w:val="Normal"/>
    <w:link w:val="Heading8Char"/>
    <w:qFormat/>
    <w:rsid w:val="002770FD"/>
    <w:pPr>
      <w:ind w:left="720"/>
      <w:outlineLvl w:val="7"/>
    </w:pPr>
    <w:rPr>
      <w:i/>
    </w:rPr>
  </w:style>
  <w:style w:type="paragraph" w:styleId="Heading9">
    <w:name w:val="heading 9"/>
    <w:basedOn w:val="Normal"/>
    <w:next w:val="Normal"/>
    <w:link w:val="Heading9Char"/>
    <w:qFormat/>
    <w:rsid w:val="002770FD"/>
    <w:pPr>
      <w:ind w:left="720"/>
      <w:outlineLvl w:val="8"/>
    </w:pPr>
    <w:rPr>
      <w:i/>
    </w:rPr>
  </w:style>
  <w:style w:type="character" w:default="1" w:styleId="DefaultParagraphFont">
    <w:name w:val="Default Paragraph Font"/>
    <w:uiPriority w:val="1"/>
    <w:unhideWhenUsed/>
    <w:rsid w:val="002770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70FD"/>
  </w:style>
  <w:style w:type="character" w:customStyle="1" w:styleId="Heading1Char">
    <w:name w:val="Heading 1 Char"/>
    <w:basedOn w:val="DefaultParagraphFont"/>
    <w:link w:val="Heading1"/>
    <w:rsid w:val="002770FD"/>
    <w:rPr>
      <w:rFonts w:ascii="Times New Roman" w:eastAsia="Times New Roman" w:hAnsi="Times New Roman" w:cs="Times New Roman"/>
      <w:b/>
      <w:sz w:val="32"/>
      <w:szCs w:val="20"/>
      <w:lang w:eastAsia="en-US"/>
    </w:rPr>
  </w:style>
  <w:style w:type="paragraph" w:styleId="BodyText">
    <w:name w:val="Body Text"/>
    <w:basedOn w:val="Normal"/>
    <w:link w:val="BodyTextChar"/>
    <w:rsid w:val="002770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70FD"/>
    <w:rPr>
      <w:rFonts w:ascii="Times New Roman" w:eastAsia="Times New Roman" w:hAnsi="Times New Roman" w:cs="Times New Roman"/>
      <w:sz w:val="24"/>
      <w:lang w:eastAsia="en-US"/>
    </w:rPr>
  </w:style>
  <w:style w:type="paragraph" w:styleId="ListBullet">
    <w:name w:val="List Bullet"/>
    <w:basedOn w:val="List"/>
    <w:rsid w:val="002770FD"/>
    <w:pPr>
      <w:numPr>
        <w:numId w:val="12"/>
      </w:numPr>
      <w:tabs>
        <w:tab w:val="clear" w:pos="340"/>
      </w:tabs>
      <w:spacing w:before="40" w:after="40"/>
    </w:pPr>
  </w:style>
  <w:style w:type="character" w:customStyle="1" w:styleId="SpecialBold">
    <w:name w:val="Special Bold"/>
    <w:basedOn w:val="DefaultParagraphFont"/>
    <w:rsid w:val="002770FD"/>
    <w:rPr>
      <w:b/>
      <w:spacing w:val="0"/>
    </w:rPr>
  </w:style>
  <w:style w:type="paragraph" w:customStyle="1" w:styleId="SuperHeading">
    <w:name w:val="SuperHeading"/>
    <w:basedOn w:val="Normal"/>
    <w:rsid w:val="002770FD"/>
    <w:pPr>
      <w:spacing w:before="240" w:after="120"/>
      <w:outlineLvl w:val="0"/>
    </w:pPr>
    <w:rPr>
      <w:rFonts w:ascii="Times New Roman" w:hAnsi="Times New Roman"/>
      <w:b/>
      <w:sz w:val="32"/>
    </w:rPr>
  </w:style>
  <w:style w:type="paragraph" w:customStyle="1" w:styleId="AllowPageBreak">
    <w:name w:val="AllowPageBreak"/>
    <w:rsid w:val="002770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2770FD"/>
    <w:rPr>
      <w:rFonts w:ascii="Symbol" w:hAnsi="Symbol"/>
    </w:rPr>
  </w:style>
  <w:style w:type="character" w:customStyle="1" w:styleId="Heading2Char">
    <w:name w:val="Heading 2 Char"/>
    <w:basedOn w:val="DefaultParagraphFont"/>
    <w:link w:val="Heading2"/>
    <w:rsid w:val="002770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70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70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70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70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70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70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70FD"/>
    <w:rPr>
      <w:rFonts w:ascii="Courier New" w:eastAsia="Times New Roman" w:hAnsi="Courier New" w:cs="Times New Roman"/>
      <w:i/>
      <w:szCs w:val="20"/>
      <w:lang w:eastAsia="en-US"/>
    </w:rPr>
  </w:style>
  <w:style w:type="paragraph" w:customStyle="1" w:styleId="HeadingBase">
    <w:name w:val="Heading Base"/>
    <w:rsid w:val="002770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70FD"/>
    <w:pPr>
      <w:tabs>
        <w:tab w:val="right" w:leader="dot" w:pos="9072"/>
      </w:tabs>
      <w:ind w:left="567"/>
    </w:pPr>
    <w:rPr>
      <w:szCs w:val="22"/>
    </w:rPr>
  </w:style>
  <w:style w:type="paragraph" w:customStyle="1" w:styleId="TOCBase">
    <w:name w:val="TOC Base"/>
    <w:rsid w:val="002770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70FD"/>
    <w:pPr>
      <w:tabs>
        <w:tab w:val="right" w:leader="dot" w:pos="9072"/>
      </w:tabs>
      <w:spacing w:before="40" w:after="40"/>
      <w:ind w:left="284"/>
    </w:pPr>
    <w:rPr>
      <w:rFonts w:ascii="Times New Roman" w:hAnsi="Times New Roman"/>
    </w:rPr>
  </w:style>
  <w:style w:type="paragraph" w:styleId="TOC1">
    <w:name w:val="toc 1"/>
    <w:basedOn w:val="TOCBase"/>
    <w:next w:val="Normal"/>
    <w:rsid w:val="002770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70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70FD"/>
    <w:rPr>
      <w:rFonts w:ascii="Times New Roman" w:eastAsia="Times New Roman" w:hAnsi="Times New Roman" w:cs="Times New Roman"/>
      <w:sz w:val="16"/>
      <w:lang w:eastAsia="en-US"/>
    </w:rPr>
  </w:style>
  <w:style w:type="paragraph" w:styleId="Title">
    <w:name w:val="Title"/>
    <w:basedOn w:val="HeadingBase"/>
    <w:link w:val="TitleChar"/>
    <w:qFormat/>
    <w:rsid w:val="002770FD"/>
    <w:pPr>
      <w:spacing w:before="5040"/>
      <w:jc w:val="center"/>
    </w:pPr>
    <w:rPr>
      <w:sz w:val="48"/>
      <w:szCs w:val="72"/>
      <w:lang w:val="en-US"/>
    </w:rPr>
  </w:style>
  <w:style w:type="character" w:customStyle="1" w:styleId="TitleChar">
    <w:name w:val="Title Char"/>
    <w:basedOn w:val="DefaultParagraphFont"/>
    <w:link w:val="Title"/>
    <w:rsid w:val="002770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70FD"/>
    <w:pPr>
      <w:tabs>
        <w:tab w:val="left" w:pos="3600"/>
        <w:tab w:val="left" w:pos="3958"/>
      </w:tabs>
    </w:pPr>
  </w:style>
  <w:style w:type="paragraph" w:styleId="List">
    <w:name w:val="List"/>
    <w:basedOn w:val="BodyText"/>
    <w:next w:val="BodyText"/>
    <w:rsid w:val="002770FD"/>
    <w:pPr>
      <w:tabs>
        <w:tab w:val="left" w:pos="340"/>
      </w:tabs>
      <w:spacing w:before="60" w:after="60"/>
      <w:ind w:left="340" w:hanging="340"/>
    </w:pPr>
  </w:style>
  <w:style w:type="paragraph" w:customStyle="1" w:styleId="Note">
    <w:name w:val="Note"/>
    <w:basedOn w:val="BodyText"/>
    <w:rsid w:val="002770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70FD"/>
    <w:pPr>
      <w:framePr w:wrap="auto" w:hAnchor="text" w:y="6049"/>
    </w:pPr>
    <w:rPr>
      <w:color w:val="000000"/>
      <w:sz w:val="40"/>
    </w:rPr>
  </w:style>
  <w:style w:type="paragraph" w:customStyle="1" w:styleId="TOCTitle">
    <w:name w:val="TOCTitle"/>
    <w:basedOn w:val="Heading1"/>
    <w:rsid w:val="002770FD"/>
    <w:pPr>
      <w:spacing w:after="240"/>
      <w:jc w:val="center"/>
      <w:outlineLvl w:val="9"/>
    </w:pPr>
    <w:rPr>
      <w:caps/>
    </w:rPr>
  </w:style>
  <w:style w:type="paragraph" w:customStyle="1" w:styleId="Version">
    <w:name w:val="Version"/>
    <w:rsid w:val="002770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70FD"/>
    <w:pPr>
      <w:numPr>
        <w:numId w:val="13"/>
      </w:numPr>
      <w:tabs>
        <w:tab w:val="clear" w:pos="680"/>
      </w:tabs>
    </w:pPr>
  </w:style>
  <w:style w:type="paragraph" w:styleId="Index1">
    <w:name w:val="index 1"/>
    <w:basedOn w:val="Normal"/>
    <w:next w:val="Normal"/>
    <w:semiHidden/>
    <w:rsid w:val="002770FD"/>
    <w:pPr>
      <w:keepNext w:val="0"/>
      <w:tabs>
        <w:tab w:val="right" w:pos="4176"/>
      </w:tabs>
      <w:ind w:left="198" w:hanging="198"/>
    </w:pPr>
    <w:rPr>
      <w:rFonts w:ascii="Garamond" w:hAnsi="Garamond"/>
    </w:rPr>
  </w:style>
  <w:style w:type="paragraph" w:styleId="IndexHeading">
    <w:name w:val="index heading"/>
    <w:basedOn w:val="Normal"/>
    <w:next w:val="Index1"/>
    <w:semiHidden/>
    <w:rsid w:val="002770FD"/>
    <w:pPr>
      <w:spacing w:before="120" w:after="120"/>
    </w:pPr>
    <w:rPr>
      <w:rFonts w:ascii="Arial" w:hAnsi="Arial"/>
      <w:b/>
      <w:color w:val="918585"/>
      <w:sz w:val="24"/>
    </w:rPr>
  </w:style>
  <w:style w:type="paragraph" w:styleId="Header">
    <w:name w:val="header"/>
    <w:basedOn w:val="Normal"/>
    <w:link w:val="HeaderChar"/>
    <w:rsid w:val="002770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70FD"/>
    <w:rPr>
      <w:rFonts w:ascii="Times New Roman" w:eastAsia="Times New Roman" w:hAnsi="Times New Roman" w:cs="Times New Roman"/>
      <w:sz w:val="16"/>
      <w:szCs w:val="20"/>
      <w:lang w:val="en-GB" w:eastAsia="en-US"/>
    </w:rPr>
  </w:style>
  <w:style w:type="paragraph" w:customStyle="1" w:styleId="Chapter">
    <w:name w:val="Chapter"/>
    <w:basedOn w:val="Normal"/>
    <w:rsid w:val="002770FD"/>
    <w:pPr>
      <w:spacing w:before="240"/>
    </w:pPr>
    <w:rPr>
      <w:rFonts w:ascii="Times New Roman" w:hAnsi="Times New Roman"/>
      <w:smallCaps/>
      <w:spacing w:val="80"/>
      <w:sz w:val="28"/>
    </w:rPr>
  </w:style>
  <w:style w:type="paragraph" w:customStyle="1" w:styleId="InChapter">
    <w:name w:val="InChapter"/>
    <w:basedOn w:val="Heading3"/>
    <w:rsid w:val="002770FD"/>
    <w:pPr>
      <w:spacing w:after="240"/>
      <w:outlineLvl w:val="9"/>
    </w:pPr>
    <w:rPr>
      <w:noProof/>
    </w:rPr>
  </w:style>
  <w:style w:type="paragraph" w:styleId="Index2">
    <w:name w:val="index 2"/>
    <w:basedOn w:val="Normal"/>
    <w:next w:val="Normal"/>
    <w:semiHidden/>
    <w:rsid w:val="002770FD"/>
    <w:pPr>
      <w:tabs>
        <w:tab w:val="right" w:pos="4176"/>
      </w:tabs>
      <w:ind w:left="568" w:hanging="284"/>
    </w:pPr>
    <w:rPr>
      <w:rFonts w:ascii="Garamond" w:hAnsi="Garamond"/>
    </w:rPr>
  </w:style>
  <w:style w:type="paragraph" w:customStyle="1" w:styleId="Byline">
    <w:name w:val="Byline"/>
    <w:rsid w:val="002770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70FD"/>
    <w:pPr>
      <w:tabs>
        <w:tab w:val="clear" w:pos="3600"/>
        <w:tab w:val="clear" w:pos="3958"/>
      </w:tabs>
      <w:jc w:val="right"/>
    </w:pPr>
  </w:style>
  <w:style w:type="character" w:styleId="Emphasis">
    <w:name w:val="Emphasis"/>
    <w:basedOn w:val="DefaultParagraphFont"/>
    <w:qFormat/>
    <w:rsid w:val="002770FD"/>
    <w:rPr>
      <w:i/>
    </w:rPr>
  </w:style>
  <w:style w:type="paragraph" w:styleId="Caption">
    <w:name w:val="caption"/>
    <w:basedOn w:val="BodyText"/>
    <w:next w:val="Normal"/>
    <w:qFormat/>
    <w:rsid w:val="002770FD"/>
    <w:pPr>
      <w:framePr w:w="2268" w:hSpace="181" w:vSpace="181" w:wrap="around" w:vAnchor="text" w:hAnchor="page" w:x="1135" w:y="285" w:anchorLock="1"/>
    </w:pPr>
    <w:rPr>
      <w:i/>
    </w:rPr>
  </w:style>
  <w:style w:type="paragraph" w:customStyle="1" w:styleId="MiniTOCTitle">
    <w:name w:val="MiniTOCTitle"/>
    <w:basedOn w:val="Heading4"/>
    <w:rsid w:val="002770FD"/>
    <w:pPr>
      <w:spacing w:before="240"/>
      <w:outlineLvl w:val="9"/>
    </w:pPr>
    <w:rPr>
      <w:noProof/>
      <w:sz w:val="24"/>
    </w:rPr>
  </w:style>
  <w:style w:type="paragraph" w:customStyle="1" w:styleId="MiniTOCItem">
    <w:name w:val="MiniTOCItem"/>
    <w:basedOn w:val="ListBullet"/>
    <w:rsid w:val="002770FD"/>
    <w:pPr>
      <w:numPr>
        <w:numId w:val="0"/>
      </w:numPr>
      <w:tabs>
        <w:tab w:val="right" w:leader="dot" w:pos="6521"/>
      </w:tabs>
      <w:spacing w:before="0" w:after="0"/>
    </w:pPr>
  </w:style>
  <w:style w:type="paragraph" w:customStyle="1" w:styleId="TOFTitle">
    <w:name w:val="TOFTitle"/>
    <w:basedOn w:val="TOCTitle"/>
    <w:rsid w:val="002770FD"/>
  </w:style>
  <w:style w:type="paragraph" w:styleId="TableofFigures">
    <w:name w:val="table of figures"/>
    <w:basedOn w:val="Normal"/>
    <w:next w:val="Normal"/>
    <w:semiHidden/>
    <w:rsid w:val="002770FD"/>
    <w:pPr>
      <w:tabs>
        <w:tab w:val="right" w:leader="dot" w:pos="9072"/>
      </w:tabs>
      <w:ind w:left="970" w:hanging="403"/>
    </w:pPr>
    <w:rPr>
      <w:rFonts w:ascii="Times New Roman" w:hAnsi="Times New Roman"/>
      <w:b/>
    </w:rPr>
  </w:style>
  <w:style w:type="paragraph" w:styleId="ListNumber">
    <w:name w:val="List Number"/>
    <w:basedOn w:val="List"/>
    <w:rsid w:val="002770FD"/>
    <w:pPr>
      <w:numPr>
        <w:numId w:val="10"/>
      </w:numPr>
    </w:pPr>
  </w:style>
  <w:style w:type="character" w:customStyle="1" w:styleId="WingdingSymbols">
    <w:name w:val="Wingding Symbols"/>
    <w:rsid w:val="002770FD"/>
    <w:rPr>
      <w:rFonts w:ascii="Wingdings" w:hAnsi="Wingdings"/>
    </w:rPr>
  </w:style>
  <w:style w:type="paragraph" w:customStyle="1" w:styleId="TableHeading">
    <w:name w:val="Table Heading"/>
    <w:basedOn w:val="HeadingBase"/>
    <w:rsid w:val="002770FD"/>
    <w:pPr>
      <w:keepLines/>
      <w:pBdr>
        <w:bottom w:val="single" w:sz="6" w:space="1" w:color="918585"/>
      </w:pBdr>
      <w:spacing w:before="240"/>
    </w:pPr>
  </w:style>
  <w:style w:type="character" w:customStyle="1" w:styleId="HotSpot">
    <w:name w:val="HotSpot"/>
    <w:rsid w:val="002770FD"/>
    <w:rPr>
      <w:color w:val="0033CC"/>
      <w:u w:val="none"/>
    </w:rPr>
  </w:style>
  <w:style w:type="paragraph" w:customStyle="1" w:styleId="BodyTextRight">
    <w:name w:val="Body Text Right"/>
    <w:basedOn w:val="BodyText"/>
    <w:rsid w:val="002770FD"/>
    <w:pPr>
      <w:spacing w:before="0" w:after="0"/>
      <w:jc w:val="right"/>
    </w:pPr>
  </w:style>
  <w:style w:type="paragraph" w:styleId="Index3">
    <w:name w:val="index 3"/>
    <w:basedOn w:val="ListNumber2"/>
    <w:next w:val="Normal"/>
    <w:semiHidden/>
    <w:rsid w:val="002770FD"/>
    <w:pPr>
      <w:numPr>
        <w:numId w:val="0"/>
      </w:numPr>
      <w:tabs>
        <w:tab w:val="right" w:leader="dot" w:pos="4176"/>
      </w:tabs>
    </w:pPr>
  </w:style>
  <w:style w:type="paragraph" w:styleId="ListNumber2">
    <w:name w:val="List Number 2"/>
    <w:basedOn w:val="List2"/>
    <w:rsid w:val="002770FD"/>
    <w:pPr>
      <w:numPr>
        <w:numId w:val="9"/>
      </w:numPr>
      <w:tabs>
        <w:tab w:val="clear" w:pos="1060"/>
      </w:tabs>
    </w:pPr>
  </w:style>
  <w:style w:type="paragraph" w:customStyle="1" w:styleId="MarginNote">
    <w:name w:val="Margin Note"/>
    <w:basedOn w:val="BodyText"/>
    <w:rsid w:val="002770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70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70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70FD"/>
    <w:rPr>
      <w:sz w:val="32"/>
    </w:rPr>
  </w:style>
  <w:style w:type="paragraph" w:customStyle="1" w:styleId="HeadingProcedure">
    <w:name w:val="Heading Procedure"/>
    <w:basedOn w:val="HeadingBase"/>
    <w:next w:val="Normal"/>
    <w:rsid w:val="002770FD"/>
    <w:pPr>
      <w:tabs>
        <w:tab w:val="left" w:pos="0"/>
      </w:tabs>
      <w:spacing w:before="120" w:after="60"/>
    </w:pPr>
    <w:rPr>
      <w:i/>
      <w:color w:val="918585"/>
      <w:sz w:val="22"/>
    </w:rPr>
  </w:style>
  <w:style w:type="paragraph" w:customStyle="1" w:styleId="TableBodyText">
    <w:name w:val="Table Body Text"/>
    <w:basedOn w:val="BodyText"/>
    <w:rsid w:val="002770FD"/>
    <w:pPr>
      <w:spacing w:before="60" w:after="60"/>
    </w:pPr>
  </w:style>
  <w:style w:type="paragraph" w:styleId="ListContinue">
    <w:name w:val="List Continue"/>
    <w:basedOn w:val="List"/>
    <w:rsid w:val="002770FD"/>
    <w:pPr>
      <w:ind w:firstLine="0"/>
    </w:pPr>
  </w:style>
  <w:style w:type="paragraph" w:customStyle="1" w:styleId="ListNote">
    <w:name w:val="List Note"/>
    <w:basedOn w:val="List"/>
    <w:rsid w:val="002770FD"/>
    <w:pPr>
      <w:pBdr>
        <w:top w:val="single" w:sz="6" w:space="2" w:color="918585"/>
        <w:bottom w:val="single" w:sz="6" w:space="2" w:color="918585"/>
      </w:pBdr>
      <w:tabs>
        <w:tab w:val="left" w:pos="1021"/>
      </w:tabs>
      <w:ind w:firstLine="0"/>
    </w:pPr>
  </w:style>
  <w:style w:type="paragraph" w:customStyle="1" w:styleId="Warning">
    <w:name w:val="Warning"/>
    <w:basedOn w:val="BodyText"/>
    <w:rsid w:val="002770FD"/>
    <w:pPr>
      <w:shd w:val="clear" w:color="auto" w:fill="D9D9D9"/>
      <w:tabs>
        <w:tab w:val="left" w:pos="992"/>
      </w:tabs>
      <w:ind w:left="119" w:right="119"/>
    </w:pPr>
    <w:rPr>
      <w:sz w:val="20"/>
    </w:rPr>
  </w:style>
  <w:style w:type="paragraph" w:customStyle="1" w:styleId="MarginIcons">
    <w:name w:val="Margin Icons"/>
    <w:basedOn w:val="BodyText"/>
    <w:rsid w:val="002770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70FD"/>
    <w:rPr>
      <w:rFonts w:ascii="Courier New" w:hAnsi="Courier New"/>
    </w:rPr>
  </w:style>
  <w:style w:type="paragraph" w:customStyle="1" w:styleId="NoteBullet">
    <w:name w:val="Note Bullet"/>
    <w:basedOn w:val="Note"/>
    <w:rsid w:val="002770FD"/>
    <w:pPr>
      <w:tabs>
        <w:tab w:val="clear" w:pos="680"/>
      </w:tabs>
      <w:spacing w:before="60" w:after="60"/>
    </w:pPr>
  </w:style>
  <w:style w:type="paragraph" w:customStyle="1" w:styleId="SubHeading2">
    <w:name w:val="SubHeading2"/>
    <w:basedOn w:val="HeadingBase"/>
    <w:rsid w:val="002770FD"/>
    <w:pPr>
      <w:spacing w:before="240" w:after="60"/>
    </w:pPr>
    <w:rPr>
      <w:sz w:val="20"/>
    </w:rPr>
  </w:style>
  <w:style w:type="paragraph" w:customStyle="1" w:styleId="SubHeading1">
    <w:name w:val="SubHeading1"/>
    <w:basedOn w:val="HeadingBase"/>
    <w:rsid w:val="002770FD"/>
    <w:pPr>
      <w:spacing w:before="240" w:after="60"/>
    </w:pPr>
    <w:rPr>
      <w:color w:val="918585"/>
      <w:sz w:val="22"/>
    </w:rPr>
  </w:style>
  <w:style w:type="paragraph" w:customStyle="1" w:styleId="SideHeading">
    <w:name w:val="Side Heading"/>
    <w:basedOn w:val="HeadingBase"/>
    <w:rsid w:val="002770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70FD"/>
    <w:pPr>
      <w:tabs>
        <w:tab w:val="num" w:pos="360"/>
      </w:tabs>
    </w:pPr>
  </w:style>
  <w:style w:type="paragraph" w:styleId="PlainText">
    <w:name w:val="Plain Text"/>
    <w:basedOn w:val="Normal"/>
    <w:link w:val="PlainTextChar"/>
    <w:rsid w:val="002770FD"/>
    <w:rPr>
      <w:sz w:val="20"/>
    </w:rPr>
  </w:style>
  <w:style w:type="character" w:customStyle="1" w:styleId="PlainTextChar">
    <w:name w:val="Plain Text Char"/>
    <w:basedOn w:val="DefaultParagraphFont"/>
    <w:link w:val="PlainText"/>
    <w:rsid w:val="002770FD"/>
    <w:rPr>
      <w:rFonts w:ascii="Courier New" w:eastAsia="Times New Roman" w:hAnsi="Courier New" w:cs="Times New Roman"/>
      <w:sz w:val="20"/>
      <w:szCs w:val="20"/>
      <w:lang w:eastAsia="en-US"/>
    </w:rPr>
  </w:style>
  <w:style w:type="character" w:customStyle="1" w:styleId="MenuOption">
    <w:name w:val="Menu Option"/>
    <w:basedOn w:val="DefaultParagraphFont"/>
    <w:rsid w:val="002770FD"/>
    <w:rPr>
      <w:b/>
      <w:smallCaps/>
    </w:rPr>
  </w:style>
  <w:style w:type="paragraph" w:customStyle="1" w:styleId="TableListNumber">
    <w:name w:val="Table List Number"/>
    <w:basedOn w:val="ListNumber"/>
    <w:rsid w:val="002770FD"/>
    <w:pPr>
      <w:numPr>
        <w:numId w:val="0"/>
      </w:numPr>
    </w:pPr>
  </w:style>
  <w:style w:type="paragraph" w:styleId="TOC4">
    <w:name w:val="toc 4"/>
    <w:basedOn w:val="TOCBase"/>
    <w:next w:val="Normal"/>
    <w:semiHidden/>
    <w:rsid w:val="002770FD"/>
    <w:pPr>
      <w:tabs>
        <w:tab w:val="right" w:leader="dot" w:pos="9071"/>
      </w:tabs>
      <w:ind w:left="1701"/>
    </w:pPr>
  </w:style>
  <w:style w:type="paragraph" w:customStyle="1" w:styleId="ListAlpha">
    <w:name w:val="List Alpha"/>
    <w:basedOn w:val="List"/>
    <w:rsid w:val="002770FD"/>
    <w:pPr>
      <w:numPr>
        <w:numId w:val="8"/>
      </w:numPr>
    </w:pPr>
  </w:style>
  <w:style w:type="paragraph" w:customStyle="1" w:styleId="ListAlpha2">
    <w:name w:val="List Alpha 2"/>
    <w:basedOn w:val="List2"/>
    <w:rsid w:val="002770FD"/>
    <w:pPr>
      <w:numPr>
        <w:numId w:val="7"/>
      </w:numPr>
    </w:pPr>
  </w:style>
  <w:style w:type="paragraph" w:styleId="List2">
    <w:name w:val="List 2"/>
    <w:basedOn w:val="BodyText"/>
    <w:rsid w:val="002770FD"/>
    <w:pPr>
      <w:tabs>
        <w:tab w:val="left" w:pos="680"/>
      </w:tabs>
      <w:spacing w:before="60" w:after="60"/>
      <w:ind w:left="680" w:hanging="340"/>
    </w:pPr>
  </w:style>
  <w:style w:type="paragraph" w:styleId="List3">
    <w:name w:val="List 3"/>
    <w:basedOn w:val="BodyText"/>
    <w:rsid w:val="002770FD"/>
    <w:pPr>
      <w:tabs>
        <w:tab w:val="left" w:pos="1021"/>
      </w:tabs>
      <w:spacing w:before="60" w:after="60"/>
      <w:ind w:left="1020" w:hanging="340"/>
    </w:pPr>
  </w:style>
  <w:style w:type="paragraph" w:styleId="List4">
    <w:name w:val="List 4"/>
    <w:basedOn w:val="BodyText"/>
    <w:rsid w:val="002770FD"/>
    <w:pPr>
      <w:tabs>
        <w:tab w:val="left" w:pos="1361"/>
      </w:tabs>
      <w:spacing w:before="60" w:after="60"/>
      <w:ind w:left="1361" w:hanging="340"/>
    </w:pPr>
  </w:style>
  <w:style w:type="paragraph" w:styleId="List5">
    <w:name w:val="List 5"/>
    <w:basedOn w:val="BodyText"/>
    <w:rsid w:val="002770FD"/>
    <w:pPr>
      <w:tabs>
        <w:tab w:val="left" w:pos="1701"/>
      </w:tabs>
      <w:spacing w:before="60" w:after="60"/>
      <w:ind w:left="1701" w:hanging="340"/>
    </w:pPr>
  </w:style>
  <w:style w:type="paragraph" w:styleId="ListBullet3">
    <w:name w:val="List Bullet 3"/>
    <w:basedOn w:val="List3"/>
    <w:rsid w:val="002770FD"/>
    <w:pPr>
      <w:numPr>
        <w:numId w:val="14"/>
      </w:numPr>
      <w:tabs>
        <w:tab w:val="clear" w:pos="1021"/>
      </w:tabs>
      <w:ind w:left="1037" w:hanging="357"/>
    </w:pPr>
  </w:style>
  <w:style w:type="paragraph" w:styleId="ListBullet4">
    <w:name w:val="List Bullet 4"/>
    <w:basedOn w:val="List4"/>
    <w:rsid w:val="002770FD"/>
    <w:pPr>
      <w:numPr>
        <w:numId w:val="2"/>
      </w:numPr>
      <w:tabs>
        <w:tab w:val="clear" w:pos="1361"/>
      </w:tabs>
    </w:pPr>
  </w:style>
  <w:style w:type="paragraph" w:styleId="ListBullet5">
    <w:name w:val="List Bullet 5"/>
    <w:basedOn w:val="List5"/>
    <w:rsid w:val="002770FD"/>
    <w:pPr>
      <w:numPr>
        <w:numId w:val="3"/>
      </w:numPr>
    </w:pPr>
  </w:style>
  <w:style w:type="paragraph" w:styleId="ListContinue2">
    <w:name w:val="List Continue 2"/>
    <w:basedOn w:val="List2"/>
    <w:rsid w:val="002770FD"/>
    <w:pPr>
      <w:ind w:firstLine="0"/>
    </w:pPr>
  </w:style>
  <w:style w:type="paragraph" w:styleId="ListContinue3">
    <w:name w:val="List Continue 3"/>
    <w:basedOn w:val="List3"/>
    <w:rsid w:val="002770FD"/>
    <w:pPr>
      <w:ind w:left="1021" w:firstLine="0"/>
    </w:pPr>
  </w:style>
  <w:style w:type="paragraph" w:styleId="ListContinue4">
    <w:name w:val="List Continue 4"/>
    <w:basedOn w:val="List4"/>
    <w:rsid w:val="002770FD"/>
    <w:pPr>
      <w:ind w:firstLine="0"/>
    </w:pPr>
  </w:style>
  <w:style w:type="paragraph" w:styleId="ListContinue5">
    <w:name w:val="List Continue 5"/>
    <w:basedOn w:val="List5"/>
    <w:rsid w:val="002770FD"/>
    <w:pPr>
      <w:ind w:firstLine="0"/>
    </w:pPr>
  </w:style>
  <w:style w:type="paragraph" w:styleId="ListNumber3">
    <w:name w:val="List Number 3"/>
    <w:basedOn w:val="List3"/>
    <w:rsid w:val="002770FD"/>
    <w:pPr>
      <w:numPr>
        <w:numId w:val="4"/>
      </w:numPr>
    </w:pPr>
  </w:style>
  <w:style w:type="paragraph" w:styleId="ListNumber4">
    <w:name w:val="List Number 4"/>
    <w:basedOn w:val="List4"/>
    <w:rsid w:val="002770FD"/>
    <w:pPr>
      <w:numPr>
        <w:numId w:val="5"/>
      </w:numPr>
    </w:pPr>
  </w:style>
  <w:style w:type="paragraph" w:styleId="ListNumber5">
    <w:name w:val="List Number 5"/>
    <w:basedOn w:val="List5"/>
    <w:rsid w:val="002770FD"/>
    <w:pPr>
      <w:numPr>
        <w:numId w:val="6"/>
      </w:numPr>
    </w:pPr>
  </w:style>
  <w:style w:type="paragraph" w:styleId="BlockText">
    <w:name w:val="Block Text"/>
    <w:basedOn w:val="Normal"/>
    <w:rsid w:val="002770FD"/>
    <w:pPr>
      <w:spacing w:after="120"/>
      <w:ind w:left="1440" w:right="1440"/>
    </w:pPr>
  </w:style>
  <w:style w:type="character" w:customStyle="1" w:styleId="Subscript">
    <w:name w:val="Subscript"/>
    <w:basedOn w:val="DefaultParagraphFont"/>
    <w:rsid w:val="002770FD"/>
    <w:rPr>
      <w:sz w:val="16"/>
      <w:vertAlign w:val="subscript"/>
    </w:rPr>
  </w:style>
  <w:style w:type="character" w:customStyle="1" w:styleId="Superscript">
    <w:name w:val="Superscript"/>
    <w:basedOn w:val="DefaultParagraphFont"/>
    <w:rsid w:val="002770FD"/>
    <w:rPr>
      <w:sz w:val="16"/>
      <w:vertAlign w:val="superscript"/>
    </w:rPr>
  </w:style>
  <w:style w:type="character" w:customStyle="1" w:styleId="MenuOptions">
    <w:name w:val="Menu Options"/>
    <w:basedOn w:val="DefaultParagraphFont"/>
    <w:rsid w:val="002770FD"/>
    <w:rPr>
      <w:rFonts w:ascii="Arial Narrow" w:hAnsi="Arial Narrow"/>
      <w:smallCaps/>
    </w:rPr>
  </w:style>
  <w:style w:type="character" w:customStyle="1" w:styleId="Buttons">
    <w:name w:val="Buttons"/>
    <w:basedOn w:val="DefaultParagraphFont"/>
    <w:rsid w:val="002770FD"/>
    <w:rPr>
      <w:b/>
    </w:rPr>
  </w:style>
  <w:style w:type="character" w:customStyle="1" w:styleId="Underlined">
    <w:name w:val="Underlined"/>
    <w:basedOn w:val="DefaultParagraphFont"/>
    <w:rsid w:val="002770FD"/>
    <w:rPr>
      <w:u w:val="single"/>
    </w:rPr>
  </w:style>
  <w:style w:type="paragraph" w:customStyle="1" w:styleId="TableBodyTextRight">
    <w:name w:val="Table Body Text Right"/>
    <w:basedOn w:val="TableBodyText"/>
    <w:rsid w:val="002770FD"/>
    <w:pPr>
      <w:widowControl w:val="0"/>
      <w:autoSpaceDE w:val="0"/>
      <w:autoSpaceDN w:val="0"/>
      <w:adjustRightInd w:val="0"/>
      <w:jc w:val="right"/>
    </w:pPr>
    <w:rPr>
      <w:rFonts w:cs="Arial"/>
      <w:szCs w:val="18"/>
    </w:rPr>
  </w:style>
  <w:style w:type="paragraph" w:customStyle="1" w:styleId="CopyrightText">
    <w:name w:val="Copyright Text"/>
    <w:basedOn w:val="BodyText"/>
    <w:rsid w:val="002770FD"/>
    <w:rPr>
      <w:sz w:val="18"/>
    </w:rPr>
  </w:style>
  <w:style w:type="paragraph" w:customStyle="1" w:styleId="BodySmallRight">
    <w:name w:val="Body Small Right"/>
    <w:basedOn w:val="BodyTextRight"/>
    <w:rsid w:val="002770FD"/>
    <w:rPr>
      <w:sz w:val="18"/>
      <w:szCs w:val="18"/>
    </w:rPr>
  </w:style>
  <w:style w:type="paragraph" w:customStyle="1" w:styleId="MarginEdition">
    <w:name w:val="Margin Edition"/>
    <w:basedOn w:val="MarginNote"/>
    <w:rsid w:val="002770FD"/>
    <w:pPr>
      <w:spacing w:before="0" w:after="0"/>
    </w:pPr>
    <w:rPr>
      <w:rFonts w:ascii="Times New Roman" w:hAnsi="Times New Roman"/>
      <w:color w:val="999999"/>
    </w:rPr>
  </w:style>
  <w:style w:type="paragraph" w:customStyle="1" w:styleId="Spacer">
    <w:name w:val="Spacer"/>
    <w:basedOn w:val="Normal"/>
    <w:rsid w:val="002770FD"/>
    <w:rPr>
      <w:sz w:val="2"/>
      <w:szCs w:val="2"/>
    </w:rPr>
  </w:style>
  <w:style w:type="character" w:customStyle="1" w:styleId="Small">
    <w:name w:val="Small"/>
    <w:basedOn w:val="DefaultParagraphFont"/>
    <w:rsid w:val="002770FD"/>
    <w:rPr>
      <w:sz w:val="16"/>
    </w:rPr>
  </w:style>
  <w:style w:type="paragraph" w:customStyle="1" w:styleId="WideTable">
    <w:name w:val="Wide Table"/>
    <w:basedOn w:val="Normal"/>
    <w:rsid w:val="002770FD"/>
    <w:pPr>
      <w:ind w:left="-1418"/>
    </w:pPr>
    <w:rPr>
      <w:sz w:val="2"/>
      <w:szCs w:val="2"/>
    </w:rPr>
  </w:style>
  <w:style w:type="character" w:styleId="PageNumber">
    <w:name w:val="page number"/>
    <w:basedOn w:val="DefaultParagraphFont"/>
    <w:rsid w:val="002770FD"/>
  </w:style>
  <w:style w:type="paragraph" w:styleId="Quote">
    <w:name w:val="Quote"/>
    <w:basedOn w:val="Heading1"/>
    <w:link w:val="QuoteChar"/>
    <w:qFormat/>
    <w:rsid w:val="002770FD"/>
    <w:rPr>
      <w:b w:val="0"/>
      <w:sz w:val="72"/>
      <w:szCs w:val="72"/>
      <w:lang w:val="en-NZ"/>
    </w:rPr>
  </w:style>
  <w:style w:type="character" w:customStyle="1" w:styleId="QuoteChar">
    <w:name w:val="Quote Char"/>
    <w:basedOn w:val="DefaultParagraphFont"/>
    <w:link w:val="Quote"/>
    <w:rsid w:val="002770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70FD"/>
    <w:pPr>
      <w:pageBreakBefore/>
    </w:pPr>
  </w:style>
  <w:style w:type="paragraph" w:customStyle="1" w:styleId="Border">
    <w:name w:val="Border"/>
    <w:basedOn w:val="Normal"/>
    <w:qFormat/>
    <w:rsid w:val="002770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70FD"/>
    <w:rPr>
      <w:b/>
      <w:bCs/>
      <w:i/>
      <w:iCs/>
      <w:color w:val="auto"/>
    </w:rPr>
  </w:style>
  <w:style w:type="paragraph" w:styleId="IntenseQuote">
    <w:name w:val="Intense Quote"/>
    <w:basedOn w:val="Normal"/>
    <w:next w:val="Normal"/>
    <w:link w:val="IntenseQuoteChar"/>
    <w:uiPriority w:val="30"/>
    <w:qFormat/>
    <w:rsid w:val="002770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70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70FD"/>
    <w:rPr>
      <w:smallCaps/>
      <w:color w:val="auto"/>
      <w:u w:val="single"/>
    </w:rPr>
  </w:style>
  <w:style w:type="character" w:styleId="IntenseReference">
    <w:name w:val="Intense Reference"/>
    <w:basedOn w:val="DefaultParagraphFont"/>
    <w:uiPriority w:val="32"/>
    <w:qFormat/>
    <w:rsid w:val="002770FD"/>
    <w:rPr>
      <w:b/>
      <w:bCs/>
      <w:smallCaps/>
      <w:color w:val="auto"/>
      <w:spacing w:val="5"/>
      <w:u w:val="single"/>
    </w:rPr>
  </w:style>
  <w:style w:type="paragraph" w:customStyle="1" w:styleId="2ColumnHeading">
    <w:name w:val="2Column Heading"/>
    <w:basedOn w:val="BodyText"/>
    <w:qFormat/>
    <w:rsid w:val="002770FD"/>
    <w:pPr>
      <w:spacing w:after="60"/>
      <w:ind w:left="-2268"/>
    </w:pPr>
    <w:rPr>
      <w:b/>
    </w:rPr>
  </w:style>
  <w:style w:type="paragraph" w:customStyle="1" w:styleId="Heading1TOC">
    <w:name w:val="Heading1 TOC"/>
    <w:basedOn w:val="Normal"/>
    <w:qFormat/>
    <w:rsid w:val="002770FD"/>
    <w:pPr>
      <w:spacing w:before="240" w:after="120"/>
    </w:pPr>
    <w:rPr>
      <w:rFonts w:ascii="Times New Roman" w:hAnsi="Times New Roman"/>
      <w:b/>
      <w:sz w:val="32"/>
    </w:rPr>
  </w:style>
  <w:style w:type="paragraph" w:customStyle="1" w:styleId="Heading2TOC">
    <w:name w:val="Heading2 TOC"/>
    <w:basedOn w:val="Normal"/>
    <w:qFormat/>
    <w:rsid w:val="002770FD"/>
    <w:pPr>
      <w:spacing w:before="240" w:after="60"/>
    </w:pPr>
    <w:rPr>
      <w:rFonts w:ascii="Times New Roman" w:hAnsi="Times New Roman"/>
      <w:b/>
      <w:sz w:val="28"/>
    </w:rPr>
  </w:style>
  <w:style w:type="character" w:customStyle="1" w:styleId="Underline">
    <w:name w:val="Underline"/>
    <w:basedOn w:val="DefaultParagraphFont"/>
    <w:qFormat/>
    <w:rsid w:val="002770FD"/>
    <w:rPr>
      <w:u w:val="single"/>
    </w:rPr>
  </w:style>
  <w:style w:type="character" w:customStyle="1" w:styleId="BoldandItalics">
    <w:name w:val="Bold and Italics"/>
    <w:qFormat/>
    <w:rsid w:val="002770FD"/>
    <w:rPr>
      <w:b/>
      <w:i/>
      <w:u w:val="none"/>
    </w:rPr>
  </w:style>
  <w:style w:type="paragraph" w:styleId="BalloonText">
    <w:name w:val="Balloon Text"/>
    <w:basedOn w:val="Normal"/>
    <w:link w:val="BalloonTextChar"/>
    <w:rsid w:val="002770FD"/>
    <w:rPr>
      <w:rFonts w:ascii="Tahoma" w:hAnsi="Tahoma" w:cs="Tahoma"/>
      <w:sz w:val="16"/>
      <w:szCs w:val="16"/>
    </w:rPr>
  </w:style>
  <w:style w:type="character" w:customStyle="1" w:styleId="BalloonTextChar">
    <w:name w:val="Balloon Text Char"/>
    <w:basedOn w:val="DefaultParagraphFont"/>
    <w:link w:val="BalloonText"/>
    <w:rsid w:val="002770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70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70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70FD"/>
    <w:rPr>
      <w:b/>
      <w:color w:val="660033"/>
      <w:spacing w:val="0"/>
    </w:rPr>
  </w:style>
  <w:style w:type="paragraph" w:customStyle="1" w:styleId="Nameditemlist">
    <w:name w:val="Named item list"/>
    <w:basedOn w:val="BodyText"/>
    <w:qFormat/>
    <w:rsid w:val="002770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968</Words>
  <Characters>6632</Characters>
  <Application>Microsoft Office Word</Application>
  <DocSecurity>0</DocSecurity>
  <Lines>262</Lines>
  <Paragraphs>110</Paragraphs>
  <ScaleCrop>false</ScaleCrop>
  <Company>Author-it Software Corporation Ltd.</Company>
  <LinksUpToDate>false</LinksUpToDate>
  <CharactersWithSpaces>7517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MSL977004 Develop or adapt analyses and procedures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2016-03-01T06:22:00Z</dcterms:created>
  <dcterms:modified xsi:type="dcterms:W3CDTF">2016-03-01T06:22:00Z</dcterms:modified>
</cp:coreProperties>
</file>