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BA2" w:rsidP="00F16BA2">
      <w:pPr>
        <w:pStyle w:val="Title"/>
      </w:pPr>
      <w:r>
        <w:fldChar w:fldCharType="begin"/>
      </w:r>
      <w:r>
        <w:instrText xml:space="preserve"> TITLE   \* MERGEFORMAT </w:instrText>
      </w:r>
      <w:r>
        <w:fldChar w:fldCharType="separate"/>
      </w:r>
      <w:r>
        <w:t>MSL977002 Troubleshoot equipment and/or production processes</w:t>
      </w:r>
      <w:r>
        <w:fldChar w:fldCharType="end"/>
      </w:r>
    </w:p>
    <w:p w:rsidR="00F16BA2" w:rsidP="00F16BA2">
      <w:pPr>
        <w:pStyle w:val="Version"/>
        <w:sectPr w:rsidSect="00EC37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73F" w:rsidP="00EC373F">
      <w:pPr>
        <w:pStyle w:val="SuperHeading"/>
      </w:pPr>
      <w:r w:rsidRPr="00EC373F">
        <w:t>MSL977002 Troubleshoot equipment and/or production processes</w:t>
      </w:r>
    </w:p>
    <w:p w:rsidR="00000000" w:rsidRPr="00EC373F" w:rsidP="00EC373F">
      <w:pPr>
        <w:pStyle w:val="Heading1"/>
      </w:pPr>
      <w:bookmarkStart w:id="1" w:name="O_902104"/>
      <w:bookmarkEnd w:id="1"/>
      <w:r w:rsidRPr="00EC373F">
        <w:t>Modification History</w:t>
      </w:r>
    </w:p>
    <w:p w:rsidR="00000000" w:rsidRPr="00EC373F" w:rsidP="00EC373F">
      <w:pPr>
        <w:pStyle w:val="BodyText"/>
      </w:pPr>
      <w:r w:rsidRPr="00EC373F">
        <w:t xml:space="preserve">Release 1. Supersedes and is equivalent to MSL977002A Troubleshoot equipment and/or production processes  </w:t>
      </w:r>
    </w:p>
    <w:p w:rsidR="00000000" w:rsidRPr="00EC373F" w:rsidP="00EC373F">
      <w:pPr>
        <w:pStyle w:val="AllowPageBreak"/>
      </w:pPr>
    </w:p>
    <w:p w:rsidR="00000000" w:rsidRPr="00EC373F" w:rsidP="00EC373F">
      <w:pPr>
        <w:pStyle w:val="Heading1"/>
      </w:pPr>
      <w:bookmarkStart w:id="2" w:name="O_902112"/>
      <w:bookmarkEnd w:id="2"/>
      <w:r w:rsidRPr="00EC373F">
        <w:t>Application</w:t>
      </w:r>
    </w:p>
    <w:p w:rsidR="00000000" w:rsidRPr="00EC373F" w:rsidP="00EC373F">
      <w:pPr>
        <w:pStyle w:val="BodyText"/>
      </w:pPr>
      <w:r w:rsidRPr="00EC373F">
        <w:t>This unit of competency covers the ability to apply technical, instrumental and equ</w:t>
      </w:r>
      <w:r w:rsidRPr="00EC373F">
        <w:t>ipment knowledge and skills to troubleshoot testing equipment and testing issues related to production processes, identify problems and recommend corrective action.</w:t>
      </w:r>
    </w:p>
    <w:p w:rsidR="00000000" w:rsidRPr="00EC373F" w:rsidP="00EC373F">
      <w:pPr>
        <w:pStyle w:val="BodyText"/>
      </w:pPr>
    </w:p>
    <w:p w:rsidR="00000000" w:rsidRPr="00EC373F" w:rsidP="00EC373F">
      <w:pPr>
        <w:pStyle w:val="BodyText"/>
      </w:pPr>
      <w:r w:rsidRPr="00EC373F">
        <w:t>This unit of competency is applicable to senior technical officers, laboratory supervisors</w:t>
      </w:r>
      <w:r w:rsidRPr="00EC373F">
        <w:t xml:space="preserve"> and technical specialists working in all industry sectors. All operations must comply with relevant standards, appropriate procedures and/or workplace requirements. Troubleshooting is the process of using technical knowledge and skills to investigate abno</w:t>
      </w:r>
      <w:r w:rsidRPr="00EC373F">
        <w:t>rmal performance and assay results. This unit of competency includes troubleshooting testing equipment and testing issues related to production processes. In the case of chromatography, for example, these problems may be related to materials, such as labor</w:t>
      </w:r>
      <w:r w:rsidRPr="00EC373F">
        <w:t xml:space="preserve">atory solvents, procedures or equipment components, such as columns, injectors, pumps and detectors. </w:t>
      </w:r>
    </w:p>
    <w:p w:rsidR="00000000" w:rsidRPr="00EC373F" w:rsidP="00EC373F">
      <w:pPr>
        <w:pStyle w:val="BodyText"/>
      </w:pPr>
    </w:p>
    <w:p w:rsidR="00000000" w:rsidRPr="00EC373F" w:rsidP="00EC373F">
      <w:pPr>
        <w:pStyle w:val="BodyText"/>
      </w:pPr>
      <w:r w:rsidRPr="00EC373F">
        <w:t>While no specific licensing or certification requirements apply to this unit at the time of publication, laboratory operations are governed by relevant l</w:t>
      </w:r>
      <w:r w:rsidRPr="00EC373F">
        <w:t>egislation, regulations and/or external accreditation requirements. Local requirements should be checked.</w:t>
      </w:r>
    </w:p>
    <w:p w:rsidR="00000000" w:rsidRPr="00EC373F" w:rsidP="00EC373F">
      <w:pPr>
        <w:pStyle w:val="AllowPageBreak"/>
      </w:pPr>
    </w:p>
    <w:p w:rsidR="00000000" w:rsidRPr="00EC373F" w:rsidP="00EC373F">
      <w:pPr>
        <w:pStyle w:val="Heading1"/>
      </w:pPr>
      <w:bookmarkStart w:id="3" w:name="O_902111"/>
      <w:bookmarkEnd w:id="3"/>
      <w:r w:rsidRPr="00EC373F">
        <w:t>Pre-requisite Unit</w:t>
      </w:r>
    </w:p>
    <w:p w:rsidR="00000000" w:rsidRPr="00EC373F" w:rsidP="00EC373F">
      <w:pPr>
        <w:pStyle w:val="BodyText"/>
      </w:pPr>
      <w:r w:rsidRPr="00EC373F">
        <w:t>Nil</w:t>
      </w:r>
    </w:p>
    <w:p w:rsidR="00000000" w:rsidRPr="00EC373F" w:rsidP="00EC373F">
      <w:pPr>
        <w:pStyle w:val="AllowPageBreak"/>
      </w:pPr>
    </w:p>
    <w:p w:rsidR="00000000" w:rsidRPr="00EC373F" w:rsidP="00EC373F">
      <w:pPr>
        <w:pStyle w:val="Heading1"/>
      </w:pPr>
      <w:bookmarkStart w:id="4" w:name="O_902110"/>
      <w:bookmarkEnd w:id="4"/>
      <w:r w:rsidRPr="00EC373F">
        <w:t>Competency Field</w:t>
      </w:r>
    </w:p>
    <w:p w:rsidR="00000000" w:rsidRPr="00EC373F" w:rsidP="00EC373F">
      <w:pPr>
        <w:pStyle w:val="BodyText"/>
      </w:pPr>
      <w:r w:rsidRPr="00EC373F">
        <w:t>Testing</w:t>
      </w:r>
    </w:p>
    <w:p w:rsidR="00000000" w:rsidRPr="00EC373F" w:rsidP="00EC373F">
      <w:pPr>
        <w:pStyle w:val="AllowPageBreak"/>
      </w:pPr>
    </w:p>
    <w:p w:rsidR="00000000" w:rsidRPr="00EC373F" w:rsidP="00EC373F">
      <w:pPr>
        <w:pStyle w:val="Heading1"/>
      </w:pPr>
      <w:bookmarkStart w:id="5" w:name="O_902109"/>
      <w:bookmarkEnd w:id="5"/>
      <w:r w:rsidRPr="00EC373F">
        <w:t>Unit Sector</w:t>
      </w:r>
    </w:p>
    <w:p w:rsidR="00000000" w:rsidRPr="00EC373F" w:rsidP="00EC373F">
      <w:pPr>
        <w:pStyle w:val="Heading1"/>
      </w:pPr>
      <w:bookmarkStart w:id="6" w:name="O_902108"/>
      <w:bookmarkEnd w:id="6"/>
      <w:r w:rsidRPr="00EC373F">
        <w:t>Elements and Performanc</w:t>
      </w:r>
      <w:r w:rsidRPr="00EC373F">
        <w:t>e Criteria</w:t>
      </w:r>
    </w:p>
    <w:tbl>
      <w:tblPr>
        <w:tblW w:w="0" w:type="auto"/>
        <w:tblLayout w:type="fixed"/>
        <w:tblCellMar>
          <w:left w:w="62" w:type="dxa"/>
          <w:right w:w="62" w:type="dxa"/>
        </w:tblCellMar>
        <w:tblLook w:val="0000"/>
      </w:tblPr>
      <w:tblGrid>
        <w:gridCol w:w="678"/>
        <w:gridCol w:w="1962"/>
        <w:gridCol w:w="770"/>
        <w:gridCol w:w="5610"/>
      </w:tblGrid>
      <w:tr w:rsidTr="00EC373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Performance criteria describe the performance needed to demonstrate achievement of the element.</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373F" w:rsidP="00EC373F">
            <w:pPr>
              <w:pStyle w:val="BodyText"/>
            </w:pPr>
            <w:r w:rsidRPr="00EC373F">
              <w:t>1</w:t>
            </w:r>
          </w:p>
        </w:tc>
        <w:tc>
          <w:tcPr>
            <w:tcW w:w="1962" w:type="dxa"/>
            <w:vMerge w:val="restart"/>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rPr>
                <w:rStyle w:val="SpecialBold"/>
              </w:rPr>
              <w:t>Identify abnormal equipment and/or process performance</w:t>
            </w: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1.1</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Determine whether testing equipment is operating to manufacturer specifications</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1.2</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Recognise whether equipment outputs are consistent with normal operation</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1.3</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Identify signs of equipment degradation and impending failure</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1.4</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Inspect equipment outputs to determine nature of the problem</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1.5</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Define nature of substandard performance</w:t>
            </w:r>
          </w:p>
        </w:tc>
      </w:tr>
      <w:tr w:rsidTr="00EC37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373F" w:rsidP="00EC373F">
            <w:pPr>
              <w:pStyle w:val="BodyText"/>
            </w:pPr>
            <w:r w:rsidRPr="00EC373F">
              <w:t>2</w:t>
            </w:r>
          </w:p>
        </w:tc>
        <w:tc>
          <w:tcPr>
            <w:tcW w:w="1962" w:type="dxa"/>
            <w:vMerge w:val="restart"/>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rPr>
                <w:rStyle w:val="SpecialBold"/>
              </w:rPr>
              <w:t>Identify causes of substandard performance</w:t>
            </w: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2.1</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Select appropriate technical process for investigation</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2.2</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Identify causes using fact-finding processes, including interviews with appropriate personnel</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2.3</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Review maintenance records to ensure that system does not need simple maintenance</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2.4</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Review calibration records to ensure system is within calibration</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2.5</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Verify that the appropriate test procedure, materials and equipment were used</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2.6</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Conduct performance tests as appropriate to investigation</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2.7</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Analyse equipment and/or testing variables to develop list of possible causes</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2.8</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Isolate causes using appropriate elimination techniques</w:t>
            </w:r>
          </w:p>
        </w:tc>
      </w:tr>
      <w:tr w:rsidTr="00EC373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373F" w:rsidP="00EC373F">
            <w:pPr>
              <w:pStyle w:val="BodyText"/>
            </w:pPr>
            <w:r w:rsidRPr="00EC373F">
              <w:t>3</w:t>
            </w:r>
          </w:p>
        </w:tc>
        <w:tc>
          <w:tcPr>
            <w:tcW w:w="1962" w:type="dxa"/>
            <w:vMerge w:val="restart"/>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rPr>
                <w:rStyle w:val="SpecialBold"/>
              </w:rPr>
              <w:t>Recommend corrective action</w:t>
            </w: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3.1</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Propose and trial corrective action based on investigation</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3.2</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Monitor trial data to ensure outputs are consistent with normal operation</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3.3</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Review trial results to confirm validity of corrective action</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3.4</w:t>
            </w:r>
          </w:p>
        </w:tc>
        <w:tc>
          <w:tcPr>
            <w:tcW w:w="561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Maintain workplace records as required</w:t>
            </w:r>
          </w:p>
        </w:tc>
      </w:tr>
      <w:tr w:rsidTr="00EC373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3.5</w:t>
            </w:r>
          </w:p>
        </w:tc>
        <w:tc>
          <w:tcPr>
            <w:tcW w:w="5610" w:type="dxa"/>
            <w:tcBorders>
              <w:top w:val="nil"/>
              <w:left w:val="nil"/>
              <w:bottom w:val="nil"/>
              <w:right w:val="nil"/>
            </w:tcBorders>
            <w:tcMar>
              <w:top w:w="0" w:type="dxa"/>
              <w:left w:w="62" w:type="dxa"/>
              <w:bottom w:w="0" w:type="dxa"/>
              <w:right w:w="62" w:type="dxa"/>
            </w:tcMar>
          </w:tcPr>
          <w:p w:rsidR="00000000" w:rsidRPr="00EC373F" w:rsidP="00EC373F">
            <w:pPr>
              <w:pStyle w:val="BodyText"/>
            </w:pPr>
            <w:r w:rsidRPr="00EC373F">
              <w:t>Submit report summarising investigation and recommendations</w:t>
            </w:r>
          </w:p>
        </w:tc>
      </w:tr>
    </w:tbl>
    <w:p w:rsidR="00000000" w:rsidRPr="00EC373F" w:rsidP="00EC373F">
      <w:pPr>
        <w:pStyle w:val="BodyText"/>
      </w:pPr>
    </w:p>
    <w:p w:rsidR="00000000" w:rsidRPr="00EC373F" w:rsidP="00EC373F">
      <w:pPr>
        <w:pStyle w:val="AllowPageBreak"/>
      </w:pPr>
    </w:p>
    <w:p w:rsidR="00000000" w:rsidRPr="00EC373F" w:rsidP="00EC373F">
      <w:pPr>
        <w:pStyle w:val="Heading1"/>
      </w:pPr>
      <w:bookmarkStart w:id="7" w:name="O_902107"/>
      <w:bookmarkEnd w:id="7"/>
      <w:r w:rsidRPr="00EC373F">
        <w:t>Foundation Skills</w:t>
      </w:r>
    </w:p>
    <w:p w:rsidR="00000000" w:rsidRPr="00EC373F" w:rsidP="00EC373F">
      <w:pPr>
        <w:pStyle w:val="BodyText"/>
      </w:pPr>
      <w:r w:rsidRPr="00EC373F">
        <w:t>This section describes those language, literacy, numeracy and employment skills that are essential to performance.</w:t>
      </w:r>
    </w:p>
    <w:p w:rsidR="00000000" w:rsidRPr="00EC373F" w:rsidP="00EC373F">
      <w:pPr>
        <w:pStyle w:val="BodyText"/>
      </w:pPr>
    </w:p>
    <w:p w:rsidR="00000000" w:rsidRPr="00EC373F" w:rsidP="00EC373F">
      <w:pPr>
        <w:pStyle w:val="BodyText"/>
      </w:pPr>
      <w:r w:rsidRPr="00EC373F">
        <w:t>Foundation skills essential to performance are explicit in the performance criteria of this unit of competency.</w:t>
      </w:r>
    </w:p>
    <w:p w:rsidR="00000000" w:rsidRPr="00EC373F" w:rsidP="00EC373F">
      <w:pPr>
        <w:pStyle w:val="AllowPageBreak"/>
      </w:pPr>
    </w:p>
    <w:p w:rsidR="00000000" w:rsidRPr="00EC373F" w:rsidP="00EC373F">
      <w:pPr>
        <w:pStyle w:val="Heading1"/>
      </w:pPr>
      <w:bookmarkStart w:id="8" w:name="O_902106"/>
      <w:bookmarkEnd w:id="8"/>
      <w:r w:rsidRPr="00EC373F">
        <w:t>Range of Co</w:t>
      </w:r>
      <w:r w:rsidRPr="00EC373F">
        <w:t>nditions</w:t>
      </w:r>
    </w:p>
    <w:tbl>
      <w:tblPr>
        <w:tblW w:w="0" w:type="auto"/>
        <w:tblCellMar>
          <w:left w:w="62" w:type="dxa"/>
          <w:right w:w="62" w:type="dxa"/>
        </w:tblCellMar>
        <w:tblLook w:val="0000"/>
      </w:tblPr>
      <w:tblGrid>
        <w:gridCol w:w="2163"/>
        <w:gridCol w:w="7033"/>
      </w:tblGrid>
      <w:tr w:rsidTr="00F16BA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t>This field allows for different work environments and conditions that may affect performance. Essential operating conditions that may be present (depending on the work situation, needs of the candidate, accessibility of the item, and local industr</w:t>
            </w:r>
            <w:r w:rsidRPr="00EC373F">
              <w:t>y and regional contexts) are included.</w:t>
            </w:r>
          </w:p>
        </w:tc>
      </w:tr>
      <w:tr w:rsidTr="00F16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C373F" w:rsidP="00EC373F">
            <w:pPr>
              <w:pStyle w:val="BodyText"/>
            </w:pPr>
            <w:r w:rsidRPr="00EC373F">
              <w:t>Standards, codes, procedures and/or workplace requirements include the latest version of one or more of:</w:t>
            </w:r>
          </w:p>
          <w:p w:rsidR="00000000" w:rsidRPr="00EC373F" w:rsidP="00EC373F">
            <w:pPr>
              <w:pStyle w:val="ListBullet"/>
            </w:pPr>
            <w:r w:rsidRPr="00EC373F">
              <w:t xml:space="preserve">Australian and international standards </w:t>
            </w:r>
            <w:r w:rsidRPr="00EC373F">
              <w:t>covering the requirements for the competence of testing and calibration laboratories, laboratory safety, quality and environmental management systems, and measurement management systems</w:t>
            </w:r>
          </w:p>
          <w:p w:rsidR="00000000" w:rsidRPr="00EC373F" w:rsidP="00EC373F">
            <w:pPr>
              <w:pStyle w:val="ListBullet"/>
            </w:pPr>
            <w:r w:rsidRPr="00EC373F">
              <w:t>national work health and safety (WHS) standards and codes of practice,</w:t>
            </w:r>
            <w:r w:rsidRPr="00EC373F">
              <w:t xml:space="preserve"> and national measurement regulations and guidelines</w:t>
            </w:r>
          </w:p>
          <w:p w:rsidR="00000000" w:rsidRPr="00EC373F" w:rsidP="00EC373F">
            <w:pPr>
              <w:pStyle w:val="ListBullet"/>
            </w:pPr>
            <w:r w:rsidRPr="00EC373F">
              <w:t>Australian and international standards and guidelines covering specialised analysis, accuracy of measurement methods and results, expression of uncertainty, quantifying uncertainty, Association of Analyt</w:t>
            </w:r>
            <w:r w:rsidRPr="00EC373F">
              <w:t>ical Communities International (AOAC International) Official Methods of Analysis, and Validation of Analytical Procedures</w:t>
            </w:r>
          </w:p>
          <w:p w:rsidR="00000000" w:rsidRPr="00EC373F" w:rsidP="00EC373F">
            <w:pPr>
              <w:pStyle w:val="ListBullet"/>
            </w:pPr>
            <w:r w:rsidRPr="00EC373F">
              <w:t xml:space="preserve">specific codes, guidelines, procedures and methods, such as National Association of Testing Authorities (NATA) accreditation programs </w:t>
            </w:r>
            <w:r w:rsidRPr="00EC373F">
              <w:t>requirements, Australian code of good manufacturing practice for medicinal products (GMP), principles of good laboratory practice (GLP), Food Standards Australia New Zealand (FSANZ) Code, Australian Dangerous Goods Code, gene technology regulations, Nation</w:t>
            </w:r>
            <w:r w:rsidRPr="00EC373F">
              <w:t>al Health and Medical Research Council (NHMRC) Guidelines, and Therapeutic Goods Regulations</w:t>
            </w:r>
          </w:p>
          <w:p w:rsidR="00000000" w:rsidRPr="00EC373F" w:rsidP="00EC373F">
            <w:pPr>
              <w:pStyle w:val="ListBullet"/>
            </w:pPr>
            <w:r w:rsidRPr="00EC373F">
              <w:t>workplace documents, such as standard operating procedures (SOPs); quality and equipment manuals; calibration and maintenance schedules; material safety data sheet</w:t>
            </w:r>
            <w:r w:rsidRPr="00EC373F">
              <w:t>s (MSDS) and safety procedures; material, production and product specifications; production and laboratory schedules; workplace recording and reporting procedures; waste minimisation and safe disposal procedures; cleaning, hygiene and personal hygiene requ</w:t>
            </w:r>
            <w:r w:rsidRPr="00EC373F">
              <w:t>irements; stock records and inventory</w:t>
            </w:r>
          </w:p>
          <w:p w:rsidR="00000000" w:rsidRPr="00EC373F" w:rsidP="00EC373F">
            <w:pPr>
              <w:pStyle w:val="ListBullet"/>
            </w:pPr>
            <w:r w:rsidRPr="00EC373F">
              <w:t>sampling procedures (labelling, preparation, storage, transport and disposal)</w:t>
            </w:r>
          </w:p>
          <w:p w:rsidR="00000000" w:rsidP="00EC373F">
            <w:pPr>
              <w:pStyle w:val="ListBullet"/>
              <w:rPr>
                <w:lang w:val="en-NZ"/>
              </w:rPr>
            </w:pPr>
            <w:r w:rsidRPr="00EC373F">
              <w:t>test procedures (validated and authorised)</w:t>
            </w:r>
          </w:p>
        </w:tc>
      </w:tr>
      <w:tr w:rsidTr="00F16BA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373F">
            <w:pPr>
              <w:pStyle w:val="BodyText"/>
              <w:rPr>
                <w:lang w:val="en-NZ"/>
              </w:rPr>
            </w:pPr>
            <w:r w:rsidRPr="00EC373F">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C373F" w:rsidP="00EC373F">
            <w:pPr>
              <w:pStyle w:val="BodyText"/>
            </w:pPr>
            <w:r w:rsidRPr="00EC373F">
              <w:t>WHS and environmental management requirements include:</w:t>
            </w:r>
          </w:p>
          <w:p w:rsidR="00000000" w:rsidRPr="00EC373F" w:rsidP="00EC373F">
            <w:pPr>
              <w:pStyle w:val="BodyText"/>
            </w:pPr>
            <w:r w:rsidRPr="00EC373F">
              <w:rPr>
                <w:rStyle w:val="Symbols"/>
              </w:rPr>
              <w:t></w:t>
            </w:r>
            <w:r w:rsidRPr="00EC373F">
              <w:rPr>
                <w:rStyle w:val="Symbols"/>
              </w:rPr>
              <w:tab/>
            </w:r>
            <w:r w:rsidRPr="00EC373F">
              <w:t>complying with WHS and environmental management requirements at all times, which may be imposed through state/territory or federal legislation. These requirements must not be compromised at any time</w:t>
            </w:r>
          </w:p>
          <w:p w:rsidR="00000000" w:rsidRPr="00EC373F" w:rsidP="00EC373F">
            <w:pPr>
              <w:pStyle w:val="BodyText"/>
            </w:pPr>
            <w:r w:rsidRPr="00EC373F">
              <w:rPr>
                <w:rStyle w:val="Symbols"/>
              </w:rPr>
              <w:t></w:t>
            </w:r>
            <w:r w:rsidRPr="00EC373F">
              <w:rPr>
                <w:rStyle w:val="Symbols"/>
              </w:rPr>
              <w:tab/>
            </w:r>
            <w:r w:rsidRPr="00EC373F">
              <w:t>applying standard precautions relating to the potentially hazardous nature of samples</w:t>
            </w:r>
          </w:p>
          <w:p w:rsidR="00000000" w:rsidRPr="00EC373F" w:rsidP="00EC373F">
            <w:pPr>
              <w:pStyle w:val="ListBullet"/>
            </w:pPr>
            <w:r w:rsidRPr="00EC373F">
              <w:t>accessing and applying current industry understanding of infection control issued by the National Health and Medical Research Council (NHMRC) and State and Territory D</w:t>
            </w:r>
            <w:r w:rsidRPr="00EC373F">
              <w:t>epartments of Health, where relevant</w:t>
            </w:r>
          </w:p>
        </w:tc>
      </w:tr>
    </w:tbl>
    <w:p w:rsidR="00000000" w:rsidRPr="00EC373F" w:rsidP="00EC373F">
      <w:pPr>
        <w:pStyle w:val="BodyText"/>
      </w:pPr>
    </w:p>
    <w:p w:rsidR="00000000" w:rsidRPr="00EC373F" w:rsidP="00EC373F">
      <w:pPr>
        <w:pStyle w:val="AllowPageBreak"/>
      </w:pPr>
    </w:p>
    <w:p w:rsidR="00000000" w:rsidRPr="00EC373F" w:rsidP="00EC373F">
      <w:pPr>
        <w:pStyle w:val="Heading1"/>
      </w:pPr>
      <w:bookmarkStart w:id="9" w:name="O_902105"/>
      <w:bookmarkEnd w:id="9"/>
      <w:r w:rsidRPr="00EC373F">
        <w:t>Unit Mapping Information</w:t>
      </w:r>
    </w:p>
    <w:p w:rsidR="00000000" w:rsidRPr="00EC373F" w:rsidP="00EC373F">
      <w:pPr>
        <w:pStyle w:val="BodyText"/>
      </w:pPr>
      <w:r w:rsidRPr="00EC373F">
        <w:t xml:space="preserve">Release 1. Supersedes and is equivalent to MSL977002A Troubleshoot equipment and/or production processes  </w:t>
      </w:r>
    </w:p>
    <w:p w:rsidR="00000000" w:rsidRPr="00EC373F" w:rsidP="00EC373F">
      <w:pPr>
        <w:pStyle w:val="AllowPageBreak"/>
      </w:pPr>
    </w:p>
    <w:p w:rsidR="00000000" w:rsidRPr="00EC373F" w:rsidP="00EC373F">
      <w:pPr>
        <w:pStyle w:val="Heading1"/>
      </w:pPr>
      <w:bookmarkStart w:id="10" w:name="O_902098"/>
      <w:bookmarkEnd w:id="10"/>
      <w:r w:rsidRPr="00EC373F">
        <w:t>Links</w:t>
      </w:r>
    </w:p>
    <w:p w:rsidR="00000000" w:rsidRPr="00EC373F" w:rsidP="00EC373F">
      <w:pPr>
        <w:pStyle w:val="BodyText"/>
      </w:pPr>
      <w:r w:rsidRPr="00EC373F">
        <w:t xml:space="preserve">MSA Training Package Implementation Guides - </w:t>
      </w:r>
      <w:r w:rsidRPr="00EC373F">
        <w:t>http://mskills.org.au/training-packages/info/</w:t>
      </w:r>
    </w:p>
    <w:p w:rsidR="00000000" w:rsidRPr="00EC373F" w:rsidP="00EC373F"/>
    <w:sectPr w:rsidSect="00EC37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3F" w:rsidRPr="00F16BA2" w:rsidP="00F16B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A2" w:rsidP="00EC37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6BA2" w:rsidP="00EC373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6BA2" w:rsidP="00EC37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3F" w:rsidRPr="00F16BA2" w:rsidP="00F16B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BA2" w:rsidRPr="002D2AF8" w:rsidP="00EC373F">
    <w:pPr>
      <w:pStyle w:val="Header"/>
      <w:framePr w:wrap="around"/>
    </w:pPr>
    <w:r>
      <w:fldChar w:fldCharType="begin"/>
    </w:r>
    <w:r>
      <w:instrText xml:space="preserve"> TITLE   \* MERGEFORMAT </w:instrText>
    </w:r>
    <w:r>
      <w:fldChar w:fldCharType="separate"/>
    </w:r>
    <w:r>
      <w:t>MSL977002 Troubleshoot equipment and/or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F16BA2" w:rsidP="00EC37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96B3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E222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7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73F"/>
    <w:pPr>
      <w:spacing w:before="360" w:after="60"/>
      <w:outlineLvl w:val="0"/>
    </w:pPr>
    <w:rPr>
      <w:sz w:val="32"/>
    </w:rPr>
  </w:style>
  <w:style w:type="paragraph" w:styleId="Heading2">
    <w:name w:val="heading 2"/>
    <w:basedOn w:val="HeadingBase"/>
    <w:next w:val="BodyText"/>
    <w:link w:val="Heading2Char"/>
    <w:qFormat/>
    <w:rsid w:val="00EC373F"/>
    <w:pPr>
      <w:keepLines/>
      <w:spacing w:before="240" w:after="120"/>
      <w:outlineLvl w:val="1"/>
    </w:pPr>
    <w:rPr>
      <w:sz w:val="28"/>
      <w:szCs w:val="40"/>
    </w:rPr>
  </w:style>
  <w:style w:type="paragraph" w:styleId="Heading3">
    <w:name w:val="heading 3"/>
    <w:basedOn w:val="HeadingBase"/>
    <w:next w:val="BodyText"/>
    <w:link w:val="Heading3Char"/>
    <w:qFormat/>
    <w:rsid w:val="00EC373F"/>
    <w:pPr>
      <w:spacing w:before="180" w:after="120"/>
      <w:outlineLvl w:val="2"/>
    </w:pPr>
    <w:rPr>
      <w:spacing w:val="-10"/>
      <w:kern w:val="32"/>
    </w:rPr>
  </w:style>
  <w:style w:type="paragraph" w:styleId="Heading4">
    <w:name w:val="heading 4"/>
    <w:basedOn w:val="HeadingBase"/>
    <w:next w:val="BodyText"/>
    <w:link w:val="Heading4Char"/>
    <w:qFormat/>
    <w:rsid w:val="00EC373F"/>
    <w:pPr>
      <w:spacing w:before="160" w:after="120"/>
      <w:outlineLvl w:val="3"/>
    </w:pPr>
    <w:rPr>
      <w:sz w:val="22"/>
    </w:rPr>
  </w:style>
  <w:style w:type="paragraph" w:styleId="Heading5">
    <w:name w:val="heading 5"/>
    <w:basedOn w:val="HeadingBase"/>
    <w:next w:val="Normal"/>
    <w:link w:val="Heading5Char"/>
    <w:qFormat/>
    <w:rsid w:val="00EC373F"/>
    <w:pPr>
      <w:spacing w:before="80"/>
      <w:outlineLvl w:val="4"/>
    </w:pPr>
    <w:rPr>
      <w:color w:val="918585"/>
      <w:sz w:val="20"/>
    </w:rPr>
  </w:style>
  <w:style w:type="paragraph" w:styleId="Heading6">
    <w:name w:val="heading 6"/>
    <w:basedOn w:val="HeadingBase"/>
    <w:next w:val="Normal"/>
    <w:link w:val="Heading6Char"/>
    <w:qFormat/>
    <w:rsid w:val="00EC373F"/>
    <w:pPr>
      <w:spacing w:before="60"/>
      <w:outlineLvl w:val="5"/>
    </w:pPr>
    <w:rPr>
      <w:color w:val="918585"/>
      <w:sz w:val="20"/>
    </w:rPr>
  </w:style>
  <w:style w:type="paragraph" w:styleId="Heading7">
    <w:name w:val="heading 7"/>
    <w:basedOn w:val="Normal"/>
    <w:next w:val="Normal"/>
    <w:link w:val="Heading7Char"/>
    <w:qFormat/>
    <w:rsid w:val="00EC373F"/>
    <w:pPr>
      <w:ind w:left="720"/>
      <w:outlineLvl w:val="6"/>
    </w:pPr>
    <w:rPr>
      <w:i/>
    </w:rPr>
  </w:style>
  <w:style w:type="paragraph" w:styleId="Heading8">
    <w:name w:val="heading 8"/>
    <w:basedOn w:val="Normal"/>
    <w:next w:val="Normal"/>
    <w:link w:val="Heading8Char"/>
    <w:qFormat/>
    <w:rsid w:val="00EC373F"/>
    <w:pPr>
      <w:ind w:left="720"/>
      <w:outlineLvl w:val="7"/>
    </w:pPr>
    <w:rPr>
      <w:i/>
    </w:rPr>
  </w:style>
  <w:style w:type="paragraph" w:styleId="Heading9">
    <w:name w:val="heading 9"/>
    <w:basedOn w:val="Normal"/>
    <w:next w:val="Normal"/>
    <w:link w:val="Heading9Char"/>
    <w:qFormat/>
    <w:rsid w:val="00EC373F"/>
    <w:pPr>
      <w:ind w:left="720"/>
      <w:outlineLvl w:val="8"/>
    </w:pPr>
    <w:rPr>
      <w:i/>
    </w:rPr>
  </w:style>
  <w:style w:type="character" w:default="1" w:styleId="DefaultParagraphFont">
    <w:name w:val="Default Paragraph Font"/>
    <w:uiPriority w:val="1"/>
    <w:unhideWhenUsed/>
    <w:rsid w:val="00EC3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73F"/>
  </w:style>
  <w:style w:type="character" w:customStyle="1" w:styleId="Heading1Char">
    <w:name w:val="Heading 1 Char"/>
    <w:basedOn w:val="DefaultParagraphFont"/>
    <w:link w:val="Heading1"/>
    <w:rsid w:val="00EC373F"/>
    <w:rPr>
      <w:rFonts w:ascii="Times New Roman" w:eastAsia="Times New Roman" w:hAnsi="Times New Roman" w:cs="Times New Roman"/>
      <w:b/>
      <w:sz w:val="32"/>
      <w:szCs w:val="20"/>
      <w:lang w:eastAsia="en-US"/>
    </w:rPr>
  </w:style>
  <w:style w:type="paragraph" w:styleId="BodyText">
    <w:name w:val="Body Text"/>
    <w:basedOn w:val="Normal"/>
    <w:link w:val="BodyTextChar"/>
    <w:rsid w:val="00EC37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373F"/>
    <w:rPr>
      <w:rFonts w:ascii="Times New Roman" w:eastAsia="Times New Roman" w:hAnsi="Times New Roman" w:cs="Times New Roman"/>
      <w:sz w:val="24"/>
      <w:lang w:eastAsia="en-US"/>
    </w:rPr>
  </w:style>
  <w:style w:type="paragraph" w:styleId="ListBullet">
    <w:name w:val="List Bullet"/>
    <w:basedOn w:val="List"/>
    <w:rsid w:val="00EC373F"/>
    <w:pPr>
      <w:numPr>
        <w:numId w:val="12"/>
      </w:numPr>
      <w:tabs>
        <w:tab w:val="clear" w:pos="340"/>
      </w:tabs>
      <w:spacing w:before="40" w:after="40"/>
    </w:pPr>
  </w:style>
  <w:style w:type="character" w:customStyle="1" w:styleId="SpecialBold">
    <w:name w:val="Special Bold"/>
    <w:basedOn w:val="DefaultParagraphFont"/>
    <w:rsid w:val="00EC373F"/>
    <w:rPr>
      <w:b/>
      <w:spacing w:val="0"/>
    </w:rPr>
  </w:style>
  <w:style w:type="paragraph" w:customStyle="1" w:styleId="SuperHeading">
    <w:name w:val="SuperHeading"/>
    <w:basedOn w:val="Normal"/>
    <w:rsid w:val="00EC373F"/>
    <w:pPr>
      <w:spacing w:before="240" w:after="120"/>
      <w:outlineLvl w:val="0"/>
    </w:pPr>
    <w:rPr>
      <w:rFonts w:ascii="Times New Roman" w:hAnsi="Times New Roman"/>
      <w:b/>
      <w:sz w:val="32"/>
    </w:rPr>
  </w:style>
  <w:style w:type="paragraph" w:customStyle="1" w:styleId="AllowPageBreak">
    <w:name w:val="AllowPageBreak"/>
    <w:rsid w:val="00EC37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C373F"/>
    <w:rPr>
      <w:rFonts w:ascii="Symbol" w:hAnsi="Symbol"/>
    </w:rPr>
  </w:style>
  <w:style w:type="character" w:customStyle="1" w:styleId="Heading2Char">
    <w:name w:val="Heading 2 Char"/>
    <w:basedOn w:val="DefaultParagraphFont"/>
    <w:link w:val="Heading2"/>
    <w:rsid w:val="00EC3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7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7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73F"/>
    <w:rPr>
      <w:rFonts w:ascii="Courier New" w:eastAsia="Times New Roman" w:hAnsi="Courier New" w:cs="Times New Roman"/>
      <w:i/>
      <w:szCs w:val="20"/>
      <w:lang w:eastAsia="en-US"/>
    </w:rPr>
  </w:style>
  <w:style w:type="paragraph" w:customStyle="1" w:styleId="HeadingBase">
    <w:name w:val="Heading Base"/>
    <w:rsid w:val="00EC3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73F"/>
    <w:pPr>
      <w:tabs>
        <w:tab w:val="right" w:leader="dot" w:pos="9072"/>
      </w:tabs>
      <w:ind w:left="567"/>
    </w:pPr>
    <w:rPr>
      <w:szCs w:val="22"/>
    </w:rPr>
  </w:style>
  <w:style w:type="paragraph" w:customStyle="1" w:styleId="TOCBase">
    <w:name w:val="TOC Base"/>
    <w:rsid w:val="00EC3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73F"/>
    <w:pPr>
      <w:tabs>
        <w:tab w:val="right" w:leader="dot" w:pos="9072"/>
      </w:tabs>
      <w:spacing w:before="40" w:after="40"/>
      <w:ind w:left="284"/>
    </w:pPr>
    <w:rPr>
      <w:rFonts w:ascii="Times New Roman" w:hAnsi="Times New Roman"/>
    </w:rPr>
  </w:style>
  <w:style w:type="paragraph" w:styleId="TOC1">
    <w:name w:val="toc 1"/>
    <w:basedOn w:val="TOCBase"/>
    <w:next w:val="Normal"/>
    <w:rsid w:val="00EC37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73F"/>
    <w:rPr>
      <w:rFonts w:ascii="Times New Roman" w:eastAsia="Times New Roman" w:hAnsi="Times New Roman" w:cs="Times New Roman"/>
      <w:sz w:val="16"/>
      <w:lang w:eastAsia="en-US"/>
    </w:rPr>
  </w:style>
  <w:style w:type="paragraph" w:styleId="Title">
    <w:name w:val="Title"/>
    <w:basedOn w:val="HeadingBase"/>
    <w:link w:val="TitleChar"/>
    <w:qFormat/>
    <w:rsid w:val="00EC373F"/>
    <w:pPr>
      <w:spacing w:before="5040"/>
      <w:jc w:val="center"/>
    </w:pPr>
    <w:rPr>
      <w:sz w:val="48"/>
      <w:szCs w:val="72"/>
      <w:lang w:val="en-US"/>
    </w:rPr>
  </w:style>
  <w:style w:type="character" w:customStyle="1" w:styleId="TitleChar">
    <w:name w:val="Title Char"/>
    <w:basedOn w:val="DefaultParagraphFont"/>
    <w:link w:val="Title"/>
    <w:rsid w:val="00EC3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73F"/>
    <w:pPr>
      <w:tabs>
        <w:tab w:val="left" w:pos="3600"/>
        <w:tab w:val="left" w:pos="3958"/>
      </w:tabs>
    </w:pPr>
  </w:style>
  <w:style w:type="paragraph" w:styleId="List">
    <w:name w:val="List"/>
    <w:basedOn w:val="BodyText"/>
    <w:next w:val="BodyText"/>
    <w:rsid w:val="00EC373F"/>
    <w:pPr>
      <w:tabs>
        <w:tab w:val="left" w:pos="340"/>
      </w:tabs>
      <w:spacing w:before="60" w:after="60"/>
      <w:ind w:left="340" w:hanging="340"/>
    </w:pPr>
  </w:style>
  <w:style w:type="paragraph" w:customStyle="1" w:styleId="Note">
    <w:name w:val="Note"/>
    <w:basedOn w:val="BodyText"/>
    <w:rsid w:val="00EC3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373F"/>
    <w:pPr>
      <w:framePr w:wrap="auto" w:hAnchor="text" w:y="6049"/>
    </w:pPr>
    <w:rPr>
      <w:color w:val="000000"/>
      <w:sz w:val="40"/>
    </w:rPr>
  </w:style>
  <w:style w:type="paragraph" w:customStyle="1" w:styleId="TOCTitle">
    <w:name w:val="TOCTitle"/>
    <w:basedOn w:val="Heading1"/>
    <w:rsid w:val="00EC373F"/>
    <w:pPr>
      <w:spacing w:after="240"/>
      <w:jc w:val="center"/>
      <w:outlineLvl w:val="9"/>
    </w:pPr>
    <w:rPr>
      <w:caps/>
    </w:rPr>
  </w:style>
  <w:style w:type="paragraph" w:customStyle="1" w:styleId="Version">
    <w:name w:val="Version"/>
    <w:rsid w:val="00EC37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73F"/>
    <w:pPr>
      <w:numPr>
        <w:numId w:val="13"/>
      </w:numPr>
      <w:tabs>
        <w:tab w:val="clear" w:pos="680"/>
      </w:tabs>
    </w:pPr>
  </w:style>
  <w:style w:type="paragraph" w:styleId="Index1">
    <w:name w:val="index 1"/>
    <w:basedOn w:val="Normal"/>
    <w:next w:val="Normal"/>
    <w:semiHidden/>
    <w:rsid w:val="00EC373F"/>
    <w:pPr>
      <w:keepNext w:val="0"/>
      <w:tabs>
        <w:tab w:val="right" w:pos="4176"/>
      </w:tabs>
      <w:ind w:left="198" w:hanging="198"/>
    </w:pPr>
    <w:rPr>
      <w:rFonts w:ascii="Garamond" w:hAnsi="Garamond"/>
    </w:rPr>
  </w:style>
  <w:style w:type="paragraph" w:styleId="IndexHeading">
    <w:name w:val="index heading"/>
    <w:basedOn w:val="Normal"/>
    <w:next w:val="Index1"/>
    <w:semiHidden/>
    <w:rsid w:val="00EC373F"/>
    <w:pPr>
      <w:spacing w:before="120" w:after="120"/>
    </w:pPr>
    <w:rPr>
      <w:rFonts w:ascii="Arial" w:hAnsi="Arial"/>
      <w:b/>
      <w:color w:val="918585"/>
      <w:sz w:val="24"/>
    </w:rPr>
  </w:style>
  <w:style w:type="paragraph" w:styleId="Header">
    <w:name w:val="header"/>
    <w:basedOn w:val="Normal"/>
    <w:link w:val="HeaderChar"/>
    <w:rsid w:val="00EC3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73F"/>
    <w:rPr>
      <w:rFonts w:ascii="Times New Roman" w:eastAsia="Times New Roman" w:hAnsi="Times New Roman" w:cs="Times New Roman"/>
      <w:sz w:val="16"/>
      <w:szCs w:val="20"/>
      <w:lang w:val="en-GB" w:eastAsia="en-US"/>
    </w:rPr>
  </w:style>
  <w:style w:type="paragraph" w:customStyle="1" w:styleId="Chapter">
    <w:name w:val="Chapter"/>
    <w:basedOn w:val="Normal"/>
    <w:rsid w:val="00EC373F"/>
    <w:pPr>
      <w:spacing w:before="240"/>
    </w:pPr>
    <w:rPr>
      <w:rFonts w:ascii="Times New Roman" w:hAnsi="Times New Roman"/>
      <w:smallCaps/>
      <w:spacing w:val="80"/>
      <w:sz w:val="28"/>
    </w:rPr>
  </w:style>
  <w:style w:type="paragraph" w:customStyle="1" w:styleId="InChapter">
    <w:name w:val="InChapter"/>
    <w:basedOn w:val="Heading3"/>
    <w:rsid w:val="00EC373F"/>
    <w:pPr>
      <w:spacing w:after="240"/>
      <w:outlineLvl w:val="9"/>
    </w:pPr>
    <w:rPr>
      <w:noProof/>
    </w:rPr>
  </w:style>
  <w:style w:type="paragraph" w:styleId="Index2">
    <w:name w:val="index 2"/>
    <w:basedOn w:val="Normal"/>
    <w:next w:val="Normal"/>
    <w:semiHidden/>
    <w:rsid w:val="00EC373F"/>
    <w:pPr>
      <w:tabs>
        <w:tab w:val="right" w:pos="4176"/>
      </w:tabs>
      <w:ind w:left="568" w:hanging="284"/>
    </w:pPr>
    <w:rPr>
      <w:rFonts w:ascii="Garamond" w:hAnsi="Garamond"/>
    </w:rPr>
  </w:style>
  <w:style w:type="paragraph" w:customStyle="1" w:styleId="Byline">
    <w:name w:val="Byline"/>
    <w:rsid w:val="00EC3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73F"/>
    <w:pPr>
      <w:tabs>
        <w:tab w:val="clear" w:pos="3600"/>
        <w:tab w:val="clear" w:pos="3958"/>
      </w:tabs>
      <w:jc w:val="right"/>
    </w:pPr>
  </w:style>
  <w:style w:type="character" w:styleId="Emphasis">
    <w:name w:val="Emphasis"/>
    <w:basedOn w:val="DefaultParagraphFont"/>
    <w:qFormat/>
    <w:rsid w:val="00EC373F"/>
    <w:rPr>
      <w:i/>
    </w:rPr>
  </w:style>
  <w:style w:type="paragraph" w:styleId="Caption">
    <w:name w:val="caption"/>
    <w:basedOn w:val="BodyText"/>
    <w:next w:val="Normal"/>
    <w:qFormat/>
    <w:rsid w:val="00EC373F"/>
    <w:pPr>
      <w:framePr w:w="2268" w:hSpace="181" w:vSpace="181" w:wrap="around" w:vAnchor="text" w:hAnchor="page" w:x="1135" w:y="285" w:anchorLock="1"/>
    </w:pPr>
    <w:rPr>
      <w:i/>
    </w:rPr>
  </w:style>
  <w:style w:type="paragraph" w:customStyle="1" w:styleId="MiniTOCTitle">
    <w:name w:val="MiniTOCTitle"/>
    <w:basedOn w:val="Heading4"/>
    <w:rsid w:val="00EC373F"/>
    <w:pPr>
      <w:spacing w:before="240"/>
      <w:outlineLvl w:val="9"/>
    </w:pPr>
    <w:rPr>
      <w:noProof/>
      <w:sz w:val="24"/>
    </w:rPr>
  </w:style>
  <w:style w:type="paragraph" w:customStyle="1" w:styleId="MiniTOCItem">
    <w:name w:val="MiniTOCItem"/>
    <w:basedOn w:val="ListBullet"/>
    <w:rsid w:val="00EC373F"/>
    <w:pPr>
      <w:numPr>
        <w:numId w:val="0"/>
      </w:numPr>
      <w:tabs>
        <w:tab w:val="right" w:leader="dot" w:pos="6521"/>
      </w:tabs>
      <w:spacing w:before="0" w:after="0"/>
    </w:pPr>
  </w:style>
  <w:style w:type="paragraph" w:customStyle="1" w:styleId="TOFTitle">
    <w:name w:val="TOFTitle"/>
    <w:basedOn w:val="TOCTitle"/>
    <w:rsid w:val="00EC373F"/>
  </w:style>
  <w:style w:type="paragraph" w:styleId="TableofFigures">
    <w:name w:val="table of figures"/>
    <w:basedOn w:val="Normal"/>
    <w:next w:val="Normal"/>
    <w:semiHidden/>
    <w:rsid w:val="00EC373F"/>
    <w:pPr>
      <w:tabs>
        <w:tab w:val="right" w:leader="dot" w:pos="9072"/>
      </w:tabs>
      <w:ind w:left="970" w:hanging="403"/>
    </w:pPr>
    <w:rPr>
      <w:rFonts w:ascii="Times New Roman" w:hAnsi="Times New Roman"/>
      <w:b/>
    </w:rPr>
  </w:style>
  <w:style w:type="paragraph" w:styleId="ListNumber">
    <w:name w:val="List Number"/>
    <w:basedOn w:val="List"/>
    <w:rsid w:val="00EC373F"/>
    <w:pPr>
      <w:numPr>
        <w:numId w:val="10"/>
      </w:numPr>
    </w:pPr>
  </w:style>
  <w:style w:type="character" w:customStyle="1" w:styleId="WingdingSymbols">
    <w:name w:val="Wingding Symbols"/>
    <w:rsid w:val="00EC373F"/>
    <w:rPr>
      <w:rFonts w:ascii="Wingdings" w:hAnsi="Wingdings"/>
    </w:rPr>
  </w:style>
  <w:style w:type="paragraph" w:customStyle="1" w:styleId="TableHeading">
    <w:name w:val="Table Heading"/>
    <w:basedOn w:val="HeadingBase"/>
    <w:rsid w:val="00EC373F"/>
    <w:pPr>
      <w:keepLines/>
      <w:pBdr>
        <w:bottom w:val="single" w:sz="6" w:space="1" w:color="918585"/>
      </w:pBdr>
      <w:spacing w:before="240"/>
    </w:pPr>
  </w:style>
  <w:style w:type="character" w:customStyle="1" w:styleId="HotSpot">
    <w:name w:val="HotSpot"/>
    <w:rsid w:val="00EC373F"/>
    <w:rPr>
      <w:color w:val="0033CC"/>
      <w:u w:val="none"/>
    </w:rPr>
  </w:style>
  <w:style w:type="paragraph" w:customStyle="1" w:styleId="BodyTextRight">
    <w:name w:val="Body Text Right"/>
    <w:basedOn w:val="BodyText"/>
    <w:rsid w:val="00EC373F"/>
    <w:pPr>
      <w:spacing w:before="0" w:after="0"/>
      <w:jc w:val="right"/>
    </w:pPr>
  </w:style>
  <w:style w:type="paragraph" w:styleId="Index3">
    <w:name w:val="index 3"/>
    <w:basedOn w:val="ListNumber2"/>
    <w:next w:val="Normal"/>
    <w:semiHidden/>
    <w:rsid w:val="00EC373F"/>
    <w:pPr>
      <w:numPr>
        <w:numId w:val="0"/>
      </w:numPr>
      <w:tabs>
        <w:tab w:val="right" w:leader="dot" w:pos="4176"/>
      </w:tabs>
    </w:pPr>
  </w:style>
  <w:style w:type="paragraph" w:styleId="ListNumber2">
    <w:name w:val="List Number 2"/>
    <w:basedOn w:val="List2"/>
    <w:rsid w:val="00EC373F"/>
    <w:pPr>
      <w:numPr>
        <w:numId w:val="9"/>
      </w:numPr>
      <w:tabs>
        <w:tab w:val="clear" w:pos="1060"/>
      </w:tabs>
    </w:pPr>
  </w:style>
  <w:style w:type="paragraph" w:customStyle="1" w:styleId="MarginNote">
    <w:name w:val="Margin Note"/>
    <w:basedOn w:val="BodyText"/>
    <w:rsid w:val="00EC3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7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73F"/>
    <w:rPr>
      <w:sz w:val="32"/>
    </w:rPr>
  </w:style>
  <w:style w:type="paragraph" w:customStyle="1" w:styleId="HeadingProcedure">
    <w:name w:val="Heading Procedure"/>
    <w:basedOn w:val="HeadingBase"/>
    <w:next w:val="Normal"/>
    <w:rsid w:val="00EC373F"/>
    <w:pPr>
      <w:tabs>
        <w:tab w:val="left" w:pos="0"/>
      </w:tabs>
      <w:spacing w:before="120" w:after="60"/>
    </w:pPr>
    <w:rPr>
      <w:i/>
      <w:color w:val="918585"/>
      <w:sz w:val="22"/>
    </w:rPr>
  </w:style>
  <w:style w:type="paragraph" w:customStyle="1" w:styleId="TableBodyText">
    <w:name w:val="Table Body Text"/>
    <w:basedOn w:val="BodyText"/>
    <w:rsid w:val="00EC373F"/>
    <w:pPr>
      <w:spacing w:before="60" w:after="60"/>
    </w:pPr>
  </w:style>
  <w:style w:type="paragraph" w:styleId="ListContinue">
    <w:name w:val="List Continue"/>
    <w:basedOn w:val="List"/>
    <w:rsid w:val="00EC373F"/>
    <w:pPr>
      <w:ind w:firstLine="0"/>
    </w:pPr>
  </w:style>
  <w:style w:type="paragraph" w:customStyle="1" w:styleId="ListNote">
    <w:name w:val="List Note"/>
    <w:basedOn w:val="List"/>
    <w:rsid w:val="00EC373F"/>
    <w:pPr>
      <w:pBdr>
        <w:top w:val="single" w:sz="6" w:space="2" w:color="918585"/>
        <w:bottom w:val="single" w:sz="6" w:space="2" w:color="918585"/>
      </w:pBdr>
      <w:tabs>
        <w:tab w:val="left" w:pos="1021"/>
      </w:tabs>
      <w:ind w:firstLine="0"/>
    </w:pPr>
  </w:style>
  <w:style w:type="paragraph" w:customStyle="1" w:styleId="Warning">
    <w:name w:val="Warning"/>
    <w:basedOn w:val="BodyText"/>
    <w:rsid w:val="00EC373F"/>
    <w:pPr>
      <w:shd w:val="clear" w:color="auto" w:fill="D9D9D9"/>
      <w:tabs>
        <w:tab w:val="left" w:pos="992"/>
      </w:tabs>
      <w:ind w:left="119" w:right="119"/>
    </w:pPr>
    <w:rPr>
      <w:sz w:val="20"/>
    </w:rPr>
  </w:style>
  <w:style w:type="paragraph" w:customStyle="1" w:styleId="MarginIcons">
    <w:name w:val="Margin Icons"/>
    <w:basedOn w:val="BodyText"/>
    <w:rsid w:val="00EC3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73F"/>
    <w:rPr>
      <w:rFonts w:ascii="Courier New" w:hAnsi="Courier New"/>
    </w:rPr>
  </w:style>
  <w:style w:type="paragraph" w:customStyle="1" w:styleId="NoteBullet">
    <w:name w:val="Note Bullet"/>
    <w:basedOn w:val="Note"/>
    <w:rsid w:val="00EC373F"/>
    <w:pPr>
      <w:tabs>
        <w:tab w:val="clear" w:pos="680"/>
      </w:tabs>
      <w:spacing w:before="60" w:after="60"/>
    </w:pPr>
  </w:style>
  <w:style w:type="paragraph" w:customStyle="1" w:styleId="SubHeading2">
    <w:name w:val="SubHeading2"/>
    <w:basedOn w:val="HeadingBase"/>
    <w:rsid w:val="00EC373F"/>
    <w:pPr>
      <w:spacing w:before="240" w:after="60"/>
    </w:pPr>
    <w:rPr>
      <w:sz w:val="20"/>
    </w:rPr>
  </w:style>
  <w:style w:type="paragraph" w:customStyle="1" w:styleId="SubHeading1">
    <w:name w:val="SubHeading1"/>
    <w:basedOn w:val="HeadingBase"/>
    <w:rsid w:val="00EC373F"/>
    <w:pPr>
      <w:spacing w:before="240" w:after="60"/>
    </w:pPr>
    <w:rPr>
      <w:color w:val="918585"/>
      <w:sz w:val="22"/>
    </w:rPr>
  </w:style>
  <w:style w:type="paragraph" w:customStyle="1" w:styleId="SideHeading">
    <w:name w:val="Side Heading"/>
    <w:basedOn w:val="HeadingBase"/>
    <w:rsid w:val="00EC3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73F"/>
    <w:pPr>
      <w:tabs>
        <w:tab w:val="num" w:pos="360"/>
      </w:tabs>
    </w:pPr>
  </w:style>
  <w:style w:type="paragraph" w:styleId="PlainText">
    <w:name w:val="Plain Text"/>
    <w:basedOn w:val="Normal"/>
    <w:link w:val="PlainTextChar"/>
    <w:rsid w:val="00EC373F"/>
    <w:rPr>
      <w:sz w:val="20"/>
    </w:rPr>
  </w:style>
  <w:style w:type="character" w:customStyle="1" w:styleId="PlainTextChar">
    <w:name w:val="Plain Text Char"/>
    <w:basedOn w:val="DefaultParagraphFont"/>
    <w:link w:val="PlainText"/>
    <w:rsid w:val="00EC373F"/>
    <w:rPr>
      <w:rFonts w:ascii="Courier New" w:eastAsia="Times New Roman" w:hAnsi="Courier New" w:cs="Times New Roman"/>
      <w:sz w:val="20"/>
      <w:szCs w:val="20"/>
      <w:lang w:eastAsia="en-US"/>
    </w:rPr>
  </w:style>
  <w:style w:type="character" w:customStyle="1" w:styleId="MenuOption">
    <w:name w:val="Menu Option"/>
    <w:basedOn w:val="DefaultParagraphFont"/>
    <w:rsid w:val="00EC373F"/>
    <w:rPr>
      <w:b/>
      <w:smallCaps/>
    </w:rPr>
  </w:style>
  <w:style w:type="paragraph" w:customStyle="1" w:styleId="TableListNumber">
    <w:name w:val="Table List Number"/>
    <w:basedOn w:val="ListNumber"/>
    <w:rsid w:val="00EC373F"/>
    <w:pPr>
      <w:numPr>
        <w:numId w:val="0"/>
      </w:numPr>
    </w:pPr>
  </w:style>
  <w:style w:type="paragraph" w:styleId="TOC4">
    <w:name w:val="toc 4"/>
    <w:basedOn w:val="TOCBase"/>
    <w:next w:val="Normal"/>
    <w:semiHidden/>
    <w:rsid w:val="00EC373F"/>
    <w:pPr>
      <w:tabs>
        <w:tab w:val="right" w:leader="dot" w:pos="9071"/>
      </w:tabs>
      <w:ind w:left="1701"/>
    </w:pPr>
  </w:style>
  <w:style w:type="paragraph" w:customStyle="1" w:styleId="ListAlpha">
    <w:name w:val="List Alpha"/>
    <w:basedOn w:val="List"/>
    <w:rsid w:val="00EC373F"/>
    <w:pPr>
      <w:numPr>
        <w:numId w:val="8"/>
      </w:numPr>
    </w:pPr>
  </w:style>
  <w:style w:type="paragraph" w:customStyle="1" w:styleId="ListAlpha2">
    <w:name w:val="List Alpha 2"/>
    <w:basedOn w:val="List2"/>
    <w:rsid w:val="00EC373F"/>
    <w:pPr>
      <w:numPr>
        <w:numId w:val="7"/>
      </w:numPr>
    </w:pPr>
  </w:style>
  <w:style w:type="paragraph" w:styleId="List2">
    <w:name w:val="List 2"/>
    <w:basedOn w:val="BodyText"/>
    <w:rsid w:val="00EC373F"/>
    <w:pPr>
      <w:tabs>
        <w:tab w:val="left" w:pos="680"/>
      </w:tabs>
      <w:spacing w:before="60" w:after="60"/>
      <w:ind w:left="680" w:hanging="340"/>
    </w:pPr>
  </w:style>
  <w:style w:type="paragraph" w:styleId="List3">
    <w:name w:val="List 3"/>
    <w:basedOn w:val="BodyText"/>
    <w:rsid w:val="00EC373F"/>
    <w:pPr>
      <w:tabs>
        <w:tab w:val="left" w:pos="1021"/>
      </w:tabs>
      <w:spacing w:before="60" w:after="60"/>
      <w:ind w:left="1020" w:hanging="340"/>
    </w:pPr>
  </w:style>
  <w:style w:type="paragraph" w:styleId="List4">
    <w:name w:val="List 4"/>
    <w:basedOn w:val="BodyText"/>
    <w:rsid w:val="00EC373F"/>
    <w:pPr>
      <w:tabs>
        <w:tab w:val="left" w:pos="1361"/>
      </w:tabs>
      <w:spacing w:before="60" w:after="60"/>
      <w:ind w:left="1361" w:hanging="340"/>
    </w:pPr>
  </w:style>
  <w:style w:type="paragraph" w:styleId="List5">
    <w:name w:val="List 5"/>
    <w:basedOn w:val="BodyText"/>
    <w:rsid w:val="00EC373F"/>
    <w:pPr>
      <w:tabs>
        <w:tab w:val="left" w:pos="1701"/>
      </w:tabs>
      <w:spacing w:before="60" w:after="60"/>
      <w:ind w:left="1701" w:hanging="340"/>
    </w:pPr>
  </w:style>
  <w:style w:type="paragraph" w:styleId="ListBullet3">
    <w:name w:val="List Bullet 3"/>
    <w:basedOn w:val="List3"/>
    <w:rsid w:val="00EC373F"/>
    <w:pPr>
      <w:numPr>
        <w:numId w:val="14"/>
      </w:numPr>
      <w:tabs>
        <w:tab w:val="clear" w:pos="1021"/>
      </w:tabs>
      <w:ind w:left="1037" w:hanging="357"/>
    </w:pPr>
  </w:style>
  <w:style w:type="paragraph" w:styleId="ListBullet4">
    <w:name w:val="List Bullet 4"/>
    <w:basedOn w:val="List4"/>
    <w:rsid w:val="00EC373F"/>
    <w:pPr>
      <w:numPr>
        <w:numId w:val="2"/>
      </w:numPr>
      <w:tabs>
        <w:tab w:val="clear" w:pos="1361"/>
      </w:tabs>
    </w:pPr>
  </w:style>
  <w:style w:type="paragraph" w:styleId="ListBullet5">
    <w:name w:val="List Bullet 5"/>
    <w:basedOn w:val="List5"/>
    <w:rsid w:val="00EC373F"/>
    <w:pPr>
      <w:numPr>
        <w:numId w:val="3"/>
      </w:numPr>
    </w:pPr>
  </w:style>
  <w:style w:type="paragraph" w:styleId="ListContinue2">
    <w:name w:val="List Continue 2"/>
    <w:basedOn w:val="List2"/>
    <w:rsid w:val="00EC373F"/>
    <w:pPr>
      <w:ind w:firstLine="0"/>
    </w:pPr>
  </w:style>
  <w:style w:type="paragraph" w:styleId="ListContinue3">
    <w:name w:val="List Continue 3"/>
    <w:basedOn w:val="List3"/>
    <w:rsid w:val="00EC373F"/>
    <w:pPr>
      <w:ind w:left="1021" w:firstLine="0"/>
    </w:pPr>
  </w:style>
  <w:style w:type="paragraph" w:styleId="ListContinue4">
    <w:name w:val="List Continue 4"/>
    <w:basedOn w:val="List4"/>
    <w:rsid w:val="00EC373F"/>
    <w:pPr>
      <w:ind w:firstLine="0"/>
    </w:pPr>
  </w:style>
  <w:style w:type="paragraph" w:styleId="ListContinue5">
    <w:name w:val="List Continue 5"/>
    <w:basedOn w:val="List5"/>
    <w:rsid w:val="00EC373F"/>
    <w:pPr>
      <w:ind w:firstLine="0"/>
    </w:pPr>
  </w:style>
  <w:style w:type="paragraph" w:styleId="ListNumber3">
    <w:name w:val="List Number 3"/>
    <w:basedOn w:val="List3"/>
    <w:rsid w:val="00EC373F"/>
    <w:pPr>
      <w:numPr>
        <w:numId w:val="4"/>
      </w:numPr>
    </w:pPr>
  </w:style>
  <w:style w:type="paragraph" w:styleId="ListNumber4">
    <w:name w:val="List Number 4"/>
    <w:basedOn w:val="List4"/>
    <w:rsid w:val="00EC373F"/>
    <w:pPr>
      <w:numPr>
        <w:numId w:val="5"/>
      </w:numPr>
    </w:pPr>
  </w:style>
  <w:style w:type="paragraph" w:styleId="ListNumber5">
    <w:name w:val="List Number 5"/>
    <w:basedOn w:val="List5"/>
    <w:rsid w:val="00EC373F"/>
    <w:pPr>
      <w:numPr>
        <w:numId w:val="6"/>
      </w:numPr>
    </w:pPr>
  </w:style>
  <w:style w:type="paragraph" w:styleId="BlockText">
    <w:name w:val="Block Text"/>
    <w:basedOn w:val="Normal"/>
    <w:rsid w:val="00EC373F"/>
    <w:pPr>
      <w:spacing w:after="120"/>
      <w:ind w:left="1440" w:right="1440"/>
    </w:pPr>
  </w:style>
  <w:style w:type="character" w:customStyle="1" w:styleId="Subscript">
    <w:name w:val="Subscript"/>
    <w:basedOn w:val="DefaultParagraphFont"/>
    <w:rsid w:val="00EC373F"/>
    <w:rPr>
      <w:sz w:val="16"/>
      <w:vertAlign w:val="subscript"/>
    </w:rPr>
  </w:style>
  <w:style w:type="character" w:customStyle="1" w:styleId="Superscript">
    <w:name w:val="Superscript"/>
    <w:basedOn w:val="DefaultParagraphFont"/>
    <w:rsid w:val="00EC373F"/>
    <w:rPr>
      <w:sz w:val="16"/>
      <w:vertAlign w:val="superscript"/>
    </w:rPr>
  </w:style>
  <w:style w:type="character" w:customStyle="1" w:styleId="MenuOptions">
    <w:name w:val="Menu Options"/>
    <w:basedOn w:val="DefaultParagraphFont"/>
    <w:rsid w:val="00EC373F"/>
    <w:rPr>
      <w:rFonts w:ascii="Arial Narrow" w:hAnsi="Arial Narrow"/>
      <w:smallCaps/>
    </w:rPr>
  </w:style>
  <w:style w:type="character" w:customStyle="1" w:styleId="Buttons">
    <w:name w:val="Buttons"/>
    <w:basedOn w:val="DefaultParagraphFont"/>
    <w:rsid w:val="00EC373F"/>
    <w:rPr>
      <w:b/>
    </w:rPr>
  </w:style>
  <w:style w:type="character" w:customStyle="1" w:styleId="Underlined">
    <w:name w:val="Underlined"/>
    <w:basedOn w:val="DefaultParagraphFont"/>
    <w:rsid w:val="00EC373F"/>
    <w:rPr>
      <w:u w:val="single"/>
    </w:rPr>
  </w:style>
  <w:style w:type="paragraph" w:customStyle="1" w:styleId="TableBodyTextRight">
    <w:name w:val="Table Body Text Right"/>
    <w:basedOn w:val="TableBodyText"/>
    <w:rsid w:val="00EC373F"/>
    <w:pPr>
      <w:widowControl w:val="0"/>
      <w:autoSpaceDE w:val="0"/>
      <w:autoSpaceDN w:val="0"/>
      <w:adjustRightInd w:val="0"/>
      <w:jc w:val="right"/>
    </w:pPr>
    <w:rPr>
      <w:rFonts w:cs="Arial"/>
      <w:szCs w:val="18"/>
    </w:rPr>
  </w:style>
  <w:style w:type="paragraph" w:customStyle="1" w:styleId="CopyrightText">
    <w:name w:val="Copyright Text"/>
    <w:basedOn w:val="BodyText"/>
    <w:rsid w:val="00EC373F"/>
    <w:rPr>
      <w:sz w:val="18"/>
    </w:rPr>
  </w:style>
  <w:style w:type="paragraph" w:customStyle="1" w:styleId="BodySmallRight">
    <w:name w:val="Body Small Right"/>
    <w:basedOn w:val="BodyTextRight"/>
    <w:rsid w:val="00EC373F"/>
    <w:rPr>
      <w:sz w:val="18"/>
      <w:szCs w:val="18"/>
    </w:rPr>
  </w:style>
  <w:style w:type="paragraph" w:customStyle="1" w:styleId="MarginEdition">
    <w:name w:val="Margin Edition"/>
    <w:basedOn w:val="MarginNote"/>
    <w:rsid w:val="00EC373F"/>
    <w:pPr>
      <w:spacing w:before="0" w:after="0"/>
    </w:pPr>
    <w:rPr>
      <w:rFonts w:ascii="Times New Roman" w:hAnsi="Times New Roman"/>
      <w:color w:val="999999"/>
    </w:rPr>
  </w:style>
  <w:style w:type="paragraph" w:customStyle="1" w:styleId="Spacer">
    <w:name w:val="Spacer"/>
    <w:basedOn w:val="Normal"/>
    <w:rsid w:val="00EC373F"/>
    <w:rPr>
      <w:sz w:val="2"/>
      <w:szCs w:val="2"/>
    </w:rPr>
  </w:style>
  <w:style w:type="character" w:customStyle="1" w:styleId="Small">
    <w:name w:val="Small"/>
    <w:basedOn w:val="DefaultParagraphFont"/>
    <w:rsid w:val="00EC373F"/>
    <w:rPr>
      <w:sz w:val="16"/>
    </w:rPr>
  </w:style>
  <w:style w:type="paragraph" w:customStyle="1" w:styleId="WideTable">
    <w:name w:val="Wide Table"/>
    <w:basedOn w:val="Normal"/>
    <w:rsid w:val="00EC373F"/>
    <w:pPr>
      <w:ind w:left="-1418"/>
    </w:pPr>
    <w:rPr>
      <w:sz w:val="2"/>
      <w:szCs w:val="2"/>
    </w:rPr>
  </w:style>
  <w:style w:type="character" w:styleId="PageNumber">
    <w:name w:val="page number"/>
    <w:basedOn w:val="DefaultParagraphFont"/>
    <w:rsid w:val="00EC373F"/>
  </w:style>
  <w:style w:type="paragraph" w:styleId="Quote">
    <w:name w:val="Quote"/>
    <w:basedOn w:val="Heading1"/>
    <w:link w:val="QuoteChar"/>
    <w:qFormat/>
    <w:rsid w:val="00EC373F"/>
    <w:rPr>
      <w:b w:val="0"/>
      <w:sz w:val="72"/>
      <w:szCs w:val="72"/>
      <w:lang w:val="en-NZ"/>
    </w:rPr>
  </w:style>
  <w:style w:type="character" w:customStyle="1" w:styleId="QuoteChar">
    <w:name w:val="Quote Char"/>
    <w:basedOn w:val="DefaultParagraphFont"/>
    <w:link w:val="Quote"/>
    <w:rsid w:val="00EC3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73F"/>
    <w:pPr>
      <w:pageBreakBefore/>
    </w:pPr>
  </w:style>
  <w:style w:type="paragraph" w:customStyle="1" w:styleId="Border">
    <w:name w:val="Border"/>
    <w:basedOn w:val="Normal"/>
    <w:qFormat/>
    <w:rsid w:val="00EC3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73F"/>
    <w:rPr>
      <w:b/>
      <w:bCs/>
      <w:i/>
      <w:iCs/>
      <w:color w:val="auto"/>
    </w:rPr>
  </w:style>
  <w:style w:type="paragraph" w:styleId="IntenseQuote">
    <w:name w:val="Intense Quote"/>
    <w:basedOn w:val="Normal"/>
    <w:next w:val="Normal"/>
    <w:link w:val="IntenseQuoteChar"/>
    <w:uiPriority w:val="30"/>
    <w:qFormat/>
    <w:rsid w:val="00EC3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7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73F"/>
    <w:rPr>
      <w:smallCaps/>
      <w:color w:val="auto"/>
      <w:u w:val="single"/>
    </w:rPr>
  </w:style>
  <w:style w:type="character" w:styleId="IntenseReference">
    <w:name w:val="Intense Reference"/>
    <w:basedOn w:val="DefaultParagraphFont"/>
    <w:uiPriority w:val="32"/>
    <w:qFormat/>
    <w:rsid w:val="00EC373F"/>
    <w:rPr>
      <w:b/>
      <w:bCs/>
      <w:smallCaps/>
      <w:color w:val="auto"/>
      <w:spacing w:val="5"/>
      <w:u w:val="single"/>
    </w:rPr>
  </w:style>
  <w:style w:type="paragraph" w:customStyle="1" w:styleId="2ColumnHeading">
    <w:name w:val="2Column Heading"/>
    <w:basedOn w:val="BodyText"/>
    <w:qFormat/>
    <w:rsid w:val="00EC373F"/>
    <w:pPr>
      <w:spacing w:after="60"/>
      <w:ind w:left="-2268"/>
    </w:pPr>
    <w:rPr>
      <w:b/>
    </w:rPr>
  </w:style>
  <w:style w:type="paragraph" w:customStyle="1" w:styleId="Heading1TOC">
    <w:name w:val="Heading1 TOC"/>
    <w:basedOn w:val="Normal"/>
    <w:qFormat/>
    <w:rsid w:val="00EC373F"/>
    <w:pPr>
      <w:spacing w:before="240" w:after="120"/>
    </w:pPr>
    <w:rPr>
      <w:rFonts w:ascii="Times New Roman" w:hAnsi="Times New Roman"/>
      <w:b/>
      <w:sz w:val="32"/>
    </w:rPr>
  </w:style>
  <w:style w:type="paragraph" w:customStyle="1" w:styleId="Heading2TOC">
    <w:name w:val="Heading2 TOC"/>
    <w:basedOn w:val="Normal"/>
    <w:qFormat/>
    <w:rsid w:val="00EC373F"/>
    <w:pPr>
      <w:spacing w:before="240" w:after="60"/>
    </w:pPr>
    <w:rPr>
      <w:rFonts w:ascii="Times New Roman" w:hAnsi="Times New Roman"/>
      <w:b/>
      <w:sz w:val="28"/>
    </w:rPr>
  </w:style>
  <w:style w:type="character" w:customStyle="1" w:styleId="Underline">
    <w:name w:val="Underline"/>
    <w:basedOn w:val="DefaultParagraphFont"/>
    <w:qFormat/>
    <w:rsid w:val="00EC373F"/>
    <w:rPr>
      <w:u w:val="single"/>
    </w:rPr>
  </w:style>
  <w:style w:type="character" w:customStyle="1" w:styleId="BoldandItalics">
    <w:name w:val="Bold and Italics"/>
    <w:qFormat/>
    <w:rsid w:val="00EC373F"/>
    <w:rPr>
      <w:b/>
      <w:i/>
      <w:u w:val="none"/>
    </w:rPr>
  </w:style>
  <w:style w:type="paragraph" w:styleId="BalloonText">
    <w:name w:val="Balloon Text"/>
    <w:basedOn w:val="Normal"/>
    <w:link w:val="BalloonTextChar"/>
    <w:rsid w:val="00EC373F"/>
    <w:rPr>
      <w:rFonts w:ascii="Tahoma" w:hAnsi="Tahoma" w:cs="Tahoma"/>
      <w:sz w:val="16"/>
      <w:szCs w:val="16"/>
    </w:rPr>
  </w:style>
  <w:style w:type="character" w:customStyle="1" w:styleId="BalloonTextChar">
    <w:name w:val="Balloon Text Char"/>
    <w:basedOn w:val="DefaultParagraphFont"/>
    <w:link w:val="BalloonText"/>
    <w:rsid w:val="00EC37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7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37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73F"/>
    <w:rPr>
      <w:b/>
      <w:color w:val="660033"/>
      <w:spacing w:val="0"/>
    </w:rPr>
  </w:style>
  <w:style w:type="paragraph" w:customStyle="1" w:styleId="Nameditemlist">
    <w:name w:val="Named item list"/>
    <w:basedOn w:val="BodyText"/>
    <w:qFormat/>
    <w:rsid w:val="00EC37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5562</Characters>
  <Application>Microsoft Office Word</Application>
  <DocSecurity>0</DocSecurity>
  <Lines>204</Lines>
  <Paragraphs>82</Paragraphs>
  <ScaleCrop>false</ScaleCrop>
  <Company>Author-it Software Corporation Ltd.</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MSL977002 Troubleshoot equipment and/or production processes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2016-03-01T06:30:00Z</dcterms:created>
  <dcterms:modified xsi:type="dcterms:W3CDTF">2016-03-01T06:30:00Z</dcterms:modified>
</cp:coreProperties>
</file>