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367" w:rsidP="00822367">
      <w:pPr>
        <w:pStyle w:val="Title"/>
      </w:pPr>
      <w:r>
        <w:fldChar w:fldCharType="begin"/>
      </w:r>
      <w:r>
        <w:instrText xml:space="preserve"> TITLE   \* MERGEFORMAT </w:instrText>
      </w:r>
      <w:r>
        <w:fldChar w:fldCharType="separate"/>
      </w:r>
      <w:r>
        <w:t>MSL977001 Contribute to the development of products and applications</w:t>
      </w:r>
      <w:r>
        <w:fldChar w:fldCharType="end"/>
      </w:r>
    </w:p>
    <w:p w:rsidR="00822367" w:rsidP="00822367">
      <w:pPr>
        <w:pStyle w:val="Version"/>
        <w:sectPr w:rsidSect="00121E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EB8" w:rsidP="00121EB8">
      <w:pPr>
        <w:pStyle w:val="SuperHeading"/>
      </w:pPr>
      <w:r w:rsidRPr="00121EB8">
        <w:t>MSL977001 Contribute to the development of products and applications</w:t>
      </w:r>
    </w:p>
    <w:p w:rsidR="00000000" w:rsidRPr="00121EB8" w:rsidP="00121EB8">
      <w:pPr>
        <w:pStyle w:val="Heading1"/>
      </w:pPr>
      <w:bookmarkStart w:id="1" w:name="O_902085"/>
      <w:bookmarkEnd w:id="1"/>
      <w:r w:rsidRPr="00121EB8">
        <w:t>Modification History</w:t>
      </w:r>
    </w:p>
    <w:p w:rsidR="00000000" w:rsidRPr="00121EB8" w:rsidP="00121EB8">
      <w:pPr>
        <w:pStyle w:val="BodyText"/>
      </w:pPr>
      <w:r w:rsidRPr="00121EB8">
        <w:t>Release 1. Supersedes and is equivalent to MSL977001A Contribute to the development of products and applications</w:t>
      </w:r>
    </w:p>
    <w:p w:rsidR="00000000" w:rsidRPr="00121EB8" w:rsidP="00121EB8">
      <w:pPr>
        <w:pStyle w:val="AllowPageBreak"/>
      </w:pPr>
    </w:p>
    <w:p w:rsidR="00000000" w:rsidRPr="00121EB8" w:rsidP="00121EB8">
      <w:pPr>
        <w:pStyle w:val="Heading1"/>
      </w:pPr>
      <w:bookmarkStart w:id="2" w:name="O_902093"/>
      <w:bookmarkEnd w:id="2"/>
      <w:r w:rsidRPr="00121EB8">
        <w:t>Application</w:t>
      </w:r>
    </w:p>
    <w:p w:rsidR="00000000" w:rsidRPr="00121EB8" w:rsidP="00121EB8">
      <w:pPr>
        <w:pStyle w:val="BodyText"/>
      </w:pPr>
      <w:r w:rsidRPr="00121EB8">
        <w:t>This unit of competency covers the ability to evaluate a product/application brief and to contribute to the development of products and applications to meet the requirements of the brief.</w:t>
      </w:r>
    </w:p>
    <w:p w:rsidR="00000000" w:rsidRPr="00121EB8" w:rsidP="00121EB8">
      <w:pPr>
        <w:pStyle w:val="BodyText"/>
      </w:pPr>
    </w:p>
    <w:p w:rsidR="00000000" w:rsidRPr="00121EB8" w:rsidP="00121EB8">
      <w:pPr>
        <w:pStyle w:val="BodyText"/>
      </w:pPr>
      <w:r w:rsidRPr="00121EB8">
        <w:t>This unit of competency is applicable to senior technical officers,</w:t>
      </w:r>
      <w:r w:rsidRPr="00121EB8">
        <w:t xml:space="preserve"> laboratory supervisors and technical specialists working in all industry sectors. All operations must comply with relevant standards, appropriate procedures and/or workplace requirements.</w:t>
      </w:r>
    </w:p>
    <w:p w:rsidR="00000000" w:rsidRPr="00121EB8" w:rsidP="00121EB8">
      <w:pPr>
        <w:pStyle w:val="BodyText"/>
      </w:pPr>
    </w:p>
    <w:p w:rsidR="00000000" w:rsidRPr="00121EB8" w:rsidP="00121EB8">
      <w:pPr>
        <w:pStyle w:val="BodyText"/>
      </w:pPr>
      <w:r w:rsidRPr="00121EB8">
        <w:t>While no specific licensing or certification requirements apply to</w:t>
      </w:r>
      <w:r w:rsidRPr="00121EB8">
        <w:t xml:space="preserve"> this unit at the time of publication, laboratory operations are governed by relevant legislation, regulations and/or external accreditation requirements. Local requirements should be checked.</w:t>
      </w:r>
    </w:p>
    <w:p w:rsidR="00000000" w:rsidRPr="00121EB8" w:rsidP="00121EB8">
      <w:pPr>
        <w:pStyle w:val="AllowPageBreak"/>
      </w:pPr>
    </w:p>
    <w:p w:rsidR="00000000" w:rsidRPr="00121EB8" w:rsidP="00121EB8">
      <w:pPr>
        <w:pStyle w:val="Heading1"/>
      </w:pPr>
      <w:bookmarkStart w:id="3" w:name="O_902092"/>
      <w:bookmarkEnd w:id="3"/>
      <w:r w:rsidRPr="00121EB8">
        <w:t>Pre-requisite Unit</w:t>
      </w:r>
    </w:p>
    <w:tbl>
      <w:tblPr>
        <w:tblW w:w="0" w:type="auto"/>
        <w:tblCellMar>
          <w:left w:w="62" w:type="dxa"/>
          <w:right w:w="62" w:type="dxa"/>
        </w:tblCellMar>
        <w:tblLook w:val="0000"/>
      </w:tblPr>
      <w:tblGrid>
        <w:gridCol w:w="2163"/>
        <w:gridCol w:w="7033"/>
      </w:tblGrid>
      <w:tr w:rsidTr="008223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MSL976003</w:t>
            </w:r>
          </w:p>
        </w:tc>
        <w:tc>
          <w:tcPr>
            <w:tcW w:w="0" w:type="auto"/>
            <w:tcBorders>
              <w:top w:val="nil"/>
              <w:left w:val="nil"/>
              <w:bottom w:val="nil"/>
              <w:right w:val="nil"/>
            </w:tcBorders>
            <w:tcMar>
              <w:top w:w="0" w:type="dxa"/>
              <w:left w:w="62" w:type="dxa"/>
              <w:bottom w:w="0" w:type="dxa"/>
              <w:right w:w="62" w:type="dxa"/>
            </w:tcMar>
          </w:tcPr>
          <w:p w:rsidR="00000000" w:rsidRPr="00121EB8" w:rsidP="00121EB8">
            <w:pPr>
              <w:pStyle w:val="BodyText"/>
            </w:pPr>
            <w:r w:rsidRPr="00121EB8">
              <w:t>Evaluate and sele</w:t>
            </w:r>
            <w:r w:rsidRPr="00121EB8">
              <w:t>ct appropriate test methods and/or procedures</w:t>
            </w:r>
          </w:p>
        </w:tc>
      </w:tr>
    </w:tbl>
    <w:p w:rsidR="00000000" w:rsidRPr="00121EB8" w:rsidP="00121EB8">
      <w:pPr>
        <w:pStyle w:val="BodyText"/>
      </w:pPr>
    </w:p>
    <w:p w:rsidR="00000000" w:rsidRPr="00121EB8" w:rsidP="00121EB8">
      <w:pPr>
        <w:pStyle w:val="AllowPageBreak"/>
      </w:pPr>
    </w:p>
    <w:p w:rsidR="00000000" w:rsidRPr="00121EB8" w:rsidP="00121EB8">
      <w:pPr>
        <w:pStyle w:val="Heading1"/>
      </w:pPr>
      <w:bookmarkStart w:id="4" w:name="O_902091"/>
      <w:bookmarkEnd w:id="4"/>
      <w:r w:rsidRPr="00121EB8">
        <w:t>Competency Field</w:t>
      </w:r>
    </w:p>
    <w:p w:rsidR="00000000" w:rsidRPr="00121EB8" w:rsidP="00121EB8">
      <w:pPr>
        <w:pStyle w:val="BodyText"/>
      </w:pPr>
      <w:r w:rsidRPr="00121EB8">
        <w:t>Testing</w:t>
      </w:r>
    </w:p>
    <w:p w:rsidR="00000000" w:rsidRPr="00121EB8" w:rsidP="00121EB8">
      <w:pPr>
        <w:pStyle w:val="AllowPageBreak"/>
      </w:pPr>
    </w:p>
    <w:p w:rsidR="00000000" w:rsidRPr="00121EB8" w:rsidP="00121EB8">
      <w:pPr>
        <w:pStyle w:val="Heading1"/>
      </w:pPr>
      <w:bookmarkStart w:id="5" w:name="O_902090"/>
      <w:bookmarkEnd w:id="5"/>
      <w:r w:rsidRPr="00121EB8">
        <w:t>Unit Sector</w:t>
      </w:r>
    </w:p>
    <w:p w:rsidR="00000000" w:rsidRPr="00121EB8" w:rsidP="00121EB8">
      <w:pPr>
        <w:pStyle w:val="Heading1"/>
      </w:pPr>
      <w:bookmarkStart w:id="6" w:name="O_902089"/>
      <w:bookmarkEnd w:id="6"/>
      <w:r w:rsidRPr="00121EB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21EB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Performance criteria describe the performance needed to demonstrate achievement of the element.</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EB8" w:rsidP="00121EB8">
            <w:pPr>
              <w:pStyle w:val="BodyText"/>
            </w:pPr>
            <w:r w:rsidRPr="00121EB8">
              <w:t>1</w:t>
            </w:r>
          </w:p>
        </w:tc>
        <w:tc>
          <w:tcPr>
            <w:tcW w:w="1962" w:type="dxa"/>
            <w:vMerge w:val="restart"/>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rPr>
                <w:rStyle w:val="SpecialBold"/>
              </w:rPr>
              <w:t xml:space="preserve">Scope the development </w:t>
            </w:r>
            <w:r w:rsidRPr="00121EB8">
              <w:rPr>
                <w:rStyle w:val="SpecialBold"/>
              </w:rPr>
              <w:t>project</w:t>
            </w: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1.1</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Confirm details of new product/application brief</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1.2</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Specify new product/application requirements</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1.3</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 xml:space="preserve">Analyse existing products (internal and external to workplace) to determine if they meet customer need </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1.4</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Interpret and apply relevant Acts, regulations and codes of practice</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1.5</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Prepare product development plan</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1.6</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Obtain approval for developme</w:t>
            </w:r>
            <w:r w:rsidRPr="00121EB8">
              <w:t>nt plan from appropriate personnel</w:t>
            </w:r>
          </w:p>
        </w:tc>
      </w:tr>
      <w:tr w:rsidTr="00121E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EB8" w:rsidP="00121EB8">
            <w:pPr>
              <w:pStyle w:val="BodyText"/>
            </w:pPr>
            <w:r w:rsidRPr="00121EB8">
              <w:t>2</w:t>
            </w:r>
          </w:p>
        </w:tc>
        <w:tc>
          <w:tcPr>
            <w:tcW w:w="1962" w:type="dxa"/>
            <w:vMerge w:val="restart"/>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rPr>
                <w:rStyle w:val="SpecialBold"/>
              </w:rPr>
              <w:t>Set scope of project</w:t>
            </w: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2.1</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Estimate resource requirements, including staffing, equipment and materials needed to undertake the project</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2.2</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Identify roles and responsibilities of project team members</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2.3</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Identify quality requirements and quality standards</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2.4</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Prepare project timelines taking into account any constraints</w:t>
            </w:r>
          </w:p>
        </w:tc>
      </w:tr>
      <w:tr w:rsidTr="00121E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EB8" w:rsidP="00121EB8">
            <w:pPr>
              <w:pStyle w:val="BodyText"/>
            </w:pPr>
            <w:r w:rsidRPr="00121EB8">
              <w:t>3</w:t>
            </w:r>
          </w:p>
        </w:tc>
        <w:tc>
          <w:tcPr>
            <w:tcW w:w="1962" w:type="dxa"/>
            <w:vMerge w:val="restart"/>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rPr>
                <w:rStyle w:val="SpecialBold"/>
              </w:rPr>
              <w:t>Develop new product formulation</w:t>
            </w: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3.1</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Prepare documentation for new product pilot batch</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3.2</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Evaluate/recommend materials for new product/application</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3.3</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Calculate required quantities of materials and adjust for properties as appropriate</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3.4</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Develop/modify products in pilot batch scale in accordance with workplace and regulatory requirements</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3.5</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Arrange for product evaluation against development brief</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3.6</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Modify product/application to meet evaluation recommendations</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3.7</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Edit documentation and issue to appropriate personnel</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3.8</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Recommend and evaluate packaging for new product/application</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3.9</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Prepare protocol for stability (shelf) testing of new product/application</w:t>
            </w:r>
          </w:p>
        </w:tc>
      </w:tr>
      <w:tr w:rsidTr="00121E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EB8" w:rsidP="00121EB8">
            <w:pPr>
              <w:pStyle w:val="BodyText"/>
            </w:pPr>
            <w:r w:rsidRPr="00121EB8">
              <w:t>4</w:t>
            </w:r>
          </w:p>
        </w:tc>
        <w:tc>
          <w:tcPr>
            <w:tcW w:w="1962" w:type="dxa"/>
            <w:vMerge w:val="restart"/>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rPr>
                <w:rStyle w:val="SpecialBold"/>
              </w:rPr>
              <w:t>Assist with preparation of quality/regulatory compliance procedures/materials</w:t>
            </w: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4.1</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Develop in-process and l</w:t>
            </w:r>
            <w:r w:rsidRPr="00121EB8">
              <w:t>aboratory testing protocols</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4.2</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Prepare product labelling and submit for approval</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4.3</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Assist in product and analytical method validation</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4.4</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Implement an effective plant hygiene and asepsis program, if applicable</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4.5</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Develop good manuf</w:t>
            </w:r>
            <w:r w:rsidRPr="00121EB8">
              <w:t>acturing principles for medicinal products (GMP)/principles of good laboratory practice (GLP) protocols for approval by appropriate personnel</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4.6</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Prepare standard operating procedures (SOPs) for quality and laboratory-related procedures</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4.7</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Prepare w</w:t>
            </w:r>
            <w:r w:rsidRPr="00121EB8">
              <w:t>ork health and safety (WHS) procedures for the laboratory and manufacturing environment and submit for approval</w:t>
            </w:r>
          </w:p>
        </w:tc>
      </w:tr>
      <w:tr w:rsidTr="00121EB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EB8" w:rsidP="00121EB8">
            <w:pPr>
              <w:pStyle w:val="BodyText"/>
            </w:pPr>
            <w:r w:rsidRPr="00121EB8">
              <w:t>5</w:t>
            </w:r>
          </w:p>
        </w:tc>
        <w:tc>
          <w:tcPr>
            <w:tcW w:w="1962" w:type="dxa"/>
            <w:vMerge w:val="restart"/>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rPr>
                <w:rStyle w:val="SpecialBold"/>
              </w:rPr>
              <w:t>Document and report project outcomes</w:t>
            </w: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5.1</w:t>
            </w:r>
          </w:p>
        </w:tc>
        <w:tc>
          <w:tcPr>
            <w:tcW w:w="561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Document and report project outcomes</w:t>
            </w:r>
          </w:p>
        </w:tc>
      </w:tr>
      <w:tr w:rsidTr="00121EB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5.2</w:t>
            </w:r>
          </w:p>
        </w:tc>
        <w:tc>
          <w:tcPr>
            <w:tcW w:w="5610" w:type="dxa"/>
            <w:tcBorders>
              <w:top w:val="nil"/>
              <w:left w:val="nil"/>
              <w:bottom w:val="nil"/>
              <w:right w:val="nil"/>
            </w:tcBorders>
            <w:tcMar>
              <w:top w:w="0" w:type="dxa"/>
              <w:left w:w="62" w:type="dxa"/>
              <w:bottom w:w="0" w:type="dxa"/>
              <w:right w:w="62" w:type="dxa"/>
            </w:tcMar>
          </w:tcPr>
          <w:p w:rsidR="00000000" w:rsidRPr="00121EB8" w:rsidP="00121EB8">
            <w:pPr>
              <w:pStyle w:val="BodyText"/>
            </w:pPr>
            <w:r w:rsidRPr="00121EB8">
              <w:t>Complete project reporting requirements</w:t>
            </w:r>
          </w:p>
        </w:tc>
      </w:tr>
    </w:tbl>
    <w:p w:rsidR="00000000" w:rsidRPr="00121EB8" w:rsidP="00121EB8">
      <w:pPr>
        <w:pStyle w:val="BodyText"/>
      </w:pPr>
    </w:p>
    <w:p w:rsidR="00000000" w:rsidRPr="00121EB8" w:rsidP="00121EB8">
      <w:pPr>
        <w:pStyle w:val="AllowPageBreak"/>
      </w:pPr>
    </w:p>
    <w:p w:rsidR="00000000" w:rsidRPr="00121EB8" w:rsidP="00121EB8">
      <w:pPr>
        <w:pStyle w:val="Heading1"/>
      </w:pPr>
      <w:bookmarkStart w:id="7" w:name="O_902088"/>
      <w:bookmarkEnd w:id="7"/>
      <w:r w:rsidRPr="00121EB8">
        <w:t>Foundation Skills</w:t>
      </w:r>
    </w:p>
    <w:p w:rsidR="00000000" w:rsidRPr="00121EB8" w:rsidP="00121EB8">
      <w:pPr>
        <w:pStyle w:val="BodyText"/>
      </w:pPr>
      <w:r w:rsidRPr="00121EB8">
        <w:t>This section describes those language, literacy, numeracy and employment skills that are essential to performance.</w:t>
      </w:r>
    </w:p>
    <w:p w:rsidR="00000000" w:rsidRPr="00121EB8" w:rsidP="00121EB8">
      <w:pPr>
        <w:pStyle w:val="BodyText"/>
      </w:pPr>
    </w:p>
    <w:p w:rsidR="00000000" w:rsidRPr="00121EB8" w:rsidP="00121EB8">
      <w:pPr>
        <w:pStyle w:val="BodyText"/>
      </w:pPr>
      <w:r w:rsidRPr="00121EB8">
        <w:t>Foundation skills essential to performance are explicit in the performance criteria of this unit of competency.</w:t>
      </w:r>
    </w:p>
    <w:p w:rsidR="00000000" w:rsidRPr="00121EB8" w:rsidP="00121EB8">
      <w:pPr>
        <w:pStyle w:val="AllowPageBreak"/>
      </w:pPr>
    </w:p>
    <w:p w:rsidR="00000000" w:rsidRPr="00121EB8" w:rsidP="00121EB8">
      <w:pPr>
        <w:pStyle w:val="Heading1"/>
      </w:pPr>
      <w:bookmarkStart w:id="8" w:name="O_902087"/>
      <w:bookmarkEnd w:id="8"/>
      <w:r w:rsidRPr="00121EB8">
        <w:t>Range of Conditions</w:t>
      </w:r>
    </w:p>
    <w:tbl>
      <w:tblPr>
        <w:tblW w:w="0" w:type="auto"/>
        <w:tblCellMar>
          <w:left w:w="62" w:type="dxa"/>
          <w:right w:w="62" w:type="dxa"/>
        </w:tblCellMar>
        <w:tblLook w:val="0000"/>
      </w:tblPr>
      <w:tblGrid>
        <w:gridCol w:w="2163"/>
        <w:gridCol w:w="7033"/>
      </w:tblGrid>
      <w:tr w:rsidTr="0082236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t>This field allows for different work environments and conditions that may affect performance. Essential operating conditions that may be present (depending on the work situation, needs of the candidate, accessibility of t</w:t>
            </w:r>
            <w:r w:rsidRPr="00121EB8">
              <w:t>he item, and local industry and regional contexts) are included.</w:t>
            </w:r>
          </w:p>
        </w:tc>
      </w:tr>
      <w:tr w:rsidTr="008223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121EB8" w:rsidP="00121EB8">
            <w:pPr>
              <w:pStyle w:val="BodyText"/>
            </w:pPr>
            <w:r w:rsidRPr="00121EB8">
              <w:t>Standards, codes, procedures and/or workplace requirements include the latest version of one or more of:</w:t>
            </w:r>
          </w:p>
          <w:p w:rsidR="00000000" w:rsidRPr="00121EB8" w:rsidP="00121EB8">
            <w:pPr>
              <w:pStyle w:val="ListBullet"/>
            </w:pPr>
            <w:r w:rsidRPr="00121EB8">
              <w:t>Australian and internat</w:t>
            </w:r>
            <w:r w:rsidRPr="00121EB8">
              <w:t>ional standards covering the requirements for the competence of testing and calibration laboratories, laboratory design and construction, physical containment levels and facility types, laboratory safety, quality and environmental management systems, and m</w:t>
            </w:r>
            <w:r w:rsidRPr="00121EB8">
              <w:t>easurement management systems</w:t>
            </w:r>
          </w:p>
          <w:p w:rsidR="00000000" w:rsidRPr="00121EB8" w:rsidP="00121EB8">
            <w:pPr>
              <w:pStyle w:val="ListBullet"/>
            </w:pPr>
            <w:r w:rsidRPr="00121EB8">
              <w:t>national WHS standards and codes of practice, national measurement regulations and guidelines, and intellectual property (IP) and copyright legislation</w:t>
            </w:r>
          </w:p>
          <w:p w:rsidR="00000000" w:rsidRPr="00121EB8" w:rsidP="00121EB8">
            <w:pPr>
              <w:pStyle w:val="ListBullet"/>
            </w:pPr>
            <w:r w:rsidRPr="00121EB8">
              <w:t>Australian and international standards and guidelines covering specialised analysis, accuracy of measurement methods and results, expression of uncertainty, quantifying uncertainty, Association of Analytical Communities International (AOAC International) O</w:t>
            </w:r>
            <w:r w:rsidRPr="00121EB8">
              <w:t>fficial Methods of Analysis, and Validation of Analytical Procedures</w:t>
            </w:r>
          </w:p>
          <w:p w:rsidR="00000000" w:rsidRPr="00121EB8" w:rsidP="00121EB8">
            <w:pPr>
              <w:pStyle w:val="ListBullet"/>
            </w:pPr>
            <w:r w:rsidRPr="00121EB8">
              <w:t>specific codes, guidelines, procedures and methods, such as National Association of Testing Authorities (NATA) accreditation programs requirements, Australian code of good manufacturing p</w:t>
            </w:r>
            <w:r w:rsidRPr="00121EB8">
              <w:t>ractice for medicinal products (GMP), principles of good laboratory practice (GLP), Food Standards Australia New Zealand (FSANZ) Code, Australian Dangerous Goods Code, gene technology regulations, National Health and Medical Research Council (NHMRC) Guidel</w:t>
            </w:r>
            <w:r w:rsidRPr="00121EB8">
              <w:t>ines, and Therapeutic Goods Regulations</w:t>
            </w:r>
          </w:p>
          <w:p w:rsidR="00000000" w:rsidRPr="00121EB8" w:rsidP="00121EB8">
            <w:pPr>
              <w:pStyle w:val="ListBullet"/>
            </w:pPr>
            <w:r w:rsidRPr="00121EB8">
              <w:t>workplace documents, such as SOPs; quality and equipment manuals; calibration and maintenance schedules; material safety data sheets (MSDS) and safety procedures; material, production and product specifications; prod</w:t>
            </w:r>
            <w:r w:rsidRPr="00121EB8">
              <w:t>uction and laboratory schedules; workplace recording and reporting procedures; waste minimisation and safe disposal procedures; cleaning, hygiene and personal hygiene requirements; stock records and inventory; and raw material catalogues</w:t>
            </w:r>
          </w:p>
          <w:p w:rsidR="00000000" w:rsidRPr="00121EB8" w:rsidP="00121EB8">
            <w:pPr>
              <w:pStyle w:val="ListBullet"/>
            </w:pPr>
            <w:r w:rsidRPr="00121EB8">
              <w:t>sampling procedure</w:t>
            </w:r>
            <w:r w:rsidRPr="00121EB8">
              <w:t>s (labelling, preparation, storage, transport and disposal)</w:t>
            </w:r>
          </w:p>
          <w:p w:rsidR="00000000" w:rsidRPr="00121EB8" w:rsidP="00121EB8">
            <w:pPr>
              <w:pStyle w:val="ListBullet"/>
            </w:pPr>
            <w:r w:rsidRPr="00121EB8">
              <w:t>test procedures (validated and authorised)</w:t>
            </w:r>
          </w:p>
          <w:p w:rsidR="00000000" w:rsidP="00121EB8">
            <w:pPr>
              <w:pStyle w:val="BodyText"/>
              <w:rPr>
                <w:lang w:val="en-NZ"/>
              </w:rPr>
            </w:pPr>
          </w:p>
        </w:tc>
      </w:tr>
      <w:tr w:rsidTr="008223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rPr>
                <w:rStyle w:val="SpecialBold"/>
              </w:rPr>
              <w:t xml:space="preserve">Product/application briefs </w:t>
            </w:r>
          </w:p>
        </w:tc>
        <w:tc>
          <w:tcPr>
            <w:tcW w:w="0" w:type="auto"/>
            <w:tcBorders>
              <w:top w:val="nil"/>
              <w:left w:val="nil"/>
              <w:bottom w:val="nil"/>
              <w:right w:val="nil"/>
            </w:tcBorders>
            <w:tcMar>
              <w:top w:w="0" w:type="dxa"/>
              <w:left w:w="62" w:type="dxa"/>
              <w:bottom w:w="0" w:type="dxa"/>
              <w:right w:w="62" w:type="dxa"/>
            </w:tcMar>
          </w:tcPr>
          <w:p w:rsidR="00000000" w:rsidRPr="00121EB8" w:rsidP="00121EB8">
            <w:pPr>
              <w:pStyle w:val="BodyText"/>
            </w:pPr>
            <w:r w:rsidRPr="00121EB8">
              <w:t>Product/application briefs are provided by, but are not limited to, one or more of:</w:t>
            </w:r>
          </w:p>
          <w:p w:rsidR="00000000" w:rsidRPr="00121EB8" w:rsidP="00121EB8">
            <w:pPr>
              <w:pStyle w:val="ListBullet"/>
            </w:pPr>
            <w:r w:rsidRPr="00121EB8">
              <w:t xml:space="preserve">internal or external customers </w:t>
            </w:r>
          </w:p>
          <w:p w:rsidR="00000000" w:rsidRPr="00121EB8" w:rsidP="00121EB8">
            <w:pPr>
              <w:pStyle w:val="ListBullet"/>
            </w:pPr>
            <w:r w:rsidRPr="00121EB8">
              <w:t>market</w:t>
            </w:r>
            <w:r w:rsidRPr="00121EB8">
              <w:t>ing</w:t>
            </w:r>
          </w:p>
          <w:p w:rsidR="00000000" w:rsidRPr="00121EB8" w:rsidP="00121EB8">
            <w:pPr>
              <w:pStyle w:val="ListBullet"/>
            </w:pPr>
            <w:r w:rsidRPr="00121EB8">
              <w:t>production</w:t>
            </w:r>
          </w:p>
          <w:p w:rsidR="00000000" w:rsidP="00121EB8">
            <w:pPr>
              <w:pStyle w:val="BodyText"/>
              <w:rPr>
                <w:lang w:val="en-NZ"/>
              </w:rPr>
            </w:pPr>
          </w:p>
        </w:tc>
      </w:tr>
      <w:tr w:rsidTr="008223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rPr>
                <w:rStyle w:val="SpecialBold"/>
              </w:rPr>
              <w:t xml:space="preserve">Materials used to manufacture products/applications </w:t>
            </w:r>
          </w:p>
        </w:tc>
        <w:tc>
          <w:tcPr>
            <w:tcW w:w="0" w:type="auto"/>
            <w:tcBorders>
              <w:top w:val="nil"/>
              <w:left w:val="nil"/>
              <w:bottom w:val="nil"/>
              <w:right w:val="nil"/>
            </w:tcBorders>
            <w:tcMar>
              <w:top w:w="0" w:type="dxa"/>
              <w:left w:w="62" w:type="dxa"/>
              <w:bottom w:w="0" w:type="dxa"/>
              <w:right w:w="62" w:type="dxa"/>
            </w:tcMar>
          </w:tcPr>
          <w:p w:rsidR="00000000" w:rsidRPr="00121EB8" w:rsidP="00121EB8">
            <w:pPr>
              <w:pStyle w:val="BodyText"/>
            </w:pPr>
            <w:r w:rsidRPr="00121EB8">
              <w:t>Materials used to manufacture products/applications include, but are not limited to, one or more of:</w:t>
            </w:r>
          </w:p>
          <w:p w:rsidR="00000000" w:rsidRPr="00121EB8" w:rsidP="00121EB8">
            <w:pPr>
              <w:pStyle w:val="ListBullet"/>
            </w:pPr>
            <w:r w:rsidRPr="00121EB8">
              <w:t>solvents</w:t>
            </w:r>
          </w:p>
          <w:p w:rsidR="00000000" w:rsidRPr="00121EB8" w:rsidP="00121EB8">
            <w:pPr>
              <w:pStyle w:val="ListBullet"/>
            </w:pPr>
            <w:r w:rsidRPr="00121EB8">
              <w:t xml:space="preserve">emulsifiers </w:t>
            </w:r>
          </w:p>
          <w:p w:rsidR="00000000" w:rsidRPr="00121EB8" w:rsidP="00121EB8">
            <w:pPr>
              <w:pStyle w:val="ListBullet"/>
            </w:pPr>
            <w:r w:rsidRPr="00121EB8">
              <w:t>thickeners</w:t>
            </w:r>
          </w:p>
          <w:p w:rsidR="00000000" w:rsidRPr="00121EB8" w:rsidP="00121EB8">
            <w:pPr>
              <w:pStyle w:val="ListBullet"/>
            </w:pPr>
            <w:r w:rsidRPr="00121EB8">
              <w:t>surfactants</w:t>
            </w:r>
          </w:p>
          <w:p w:rsidR="00000000" w:rsidRPr="00121EB8" w:rsidP="00121EB8">
            <w:pPr>
              <w:pStyle w:val="ListBullet"/>
            </w:pPr>
            <w:r w:rsidRPr="00121EB8">
              <w:t>disintegrants</w:t>
            </w:r>
          </w:p>
          <w:p w:rsidR="00000000" w:rsidRPr="00121EB8" w:rsidP="00121EB8">
            <w:pPr>
              <w:pStyle w:val="ListBullet"/>
            </w:pPr>
            <w:r w:rsidRPr="00121EB8">
              <w:t>fillers</w:t>
            </w:r>
          </w:p>
          <w:p w:rsidR="00000000" w:rsidRPr="00121EB8" w:rsidP="00121EB8">
            <w:pPr>
              <w:pStyle w:val="ListBullet"/>
            </w:pPr>
            <w:r w:rsidRPr="00121EB8">
              <w:t>moisturising materials</w:t>
            </w:r>
          </w:p>
          <w:p w:rsidR="00000000" w:rsidRPr="00121EB8" w:rsidP="00121EB8">
            <w:pPr>
              <w:pStyle w:val="ListBullet"/>
            </w:pPr>
            <w:r w:rsidRPr="00121EB8">
              <w:t>colouring materials</w:t>
            </w:r>
          </w:p>
          <w:p w:rsidR="00000000" w:rsidRPr="00121EB8" w:rsidP="00121EB8">
            <w:pPr>
              <w:pStyle w:val="ListBullet"/>
            </w:pPr>
            <w:r w:rsidRPr="00121EB8">
              <w:t>flavours</w:t>
            </w:r>
          </w:p>
          <w:p w:rsidR="00000000" w:rsidRPr="00121EB8" w:rsidP="00121EB8">
            <w:pPr>
              <w:pStyle w:val="ListBullet"/>
            </w:pPr>
            <w:r w:rsidRPr="00121EB8">
              <w:t>perfumes</w:t>
            </w:r>
          </w:p>
          <w:p w:rsidR="00000000" w:rsidRPr="00121EB8" w:rsidP="00121EB8">
            <w:pPr>
              <w:pStyle w:val="ListBullet"/>
            </w:pPr>
            <w:r w:rsidRPr="00121EB8">
              <w:t>opacifiers</w:t>
            </w:r>
          </w:p>
          <w:p w:rsidR="00000000" w:rsidRPr="00121EB8" w:rsidP="00121EB8">
            <w:pPr>
              <w:pStyle w:val="ListBullet"/>
            </w:pPr>
            <w:r w:rsidRPr="00121EB8">
              <w:t>propellants</w:t>
            </w:r>
          </w:p>
          <w:p w:rsidR="00000000" w:rsidRPr="00121EB8" w:rsidP="00121EB8">
            <w:pPr>
              <w:pStyle w:val="ListBullet"/>
            </w:pPr>
            <w:r w:rsidRPr="00121EB8">
              <w:t>sunscreens</w:t>
            </w:r>
          </w:p>
          <w:p w:rsidR="00000000" w:rsidP="00121EB8">
            <w:pPr>
              <w:pStyle w:val="BodyText"/>
              <w:rPr>
                <w:lang w:val="en-NZ"/>
              </w:rPr>
            </w:pPr>
          </w:p>
        </w:tc>
      </w:tr>
      <w:tr w:rsidTr="008223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rPr>
                <w:rStyle w:val="SpecialBold"/>
              </w:rPr>
              <w:t xml:space="preserve">Calculations </w:t>
            </w:r>
          </w:p>
        </w:tc>
        <w:tc>
          <w:tcPr>
            <w:tcW w:w="0" w:type="auto"/>
            <w:tcBorders>
              <w:top w:val="nil"/>
              <w:left w:val="nil"/>
              <w:bottom w:val="nil"/>
              <w:right w:val="nil"/>
            </w:tcBorders>
            <w:tcMar>
              <w:top w:w="0" w:type="dxa"/>
              <w:left w:w="62" w:type="dxa"/>
              <w:bottom w:w="0" w:type="dxa"/>
              <w:right w:w="62" w:type="dxa"/>
            </w:tcMar>
          </w:tcPr>
          <w:p w:rsidR="00000000" w:rsidRPr="00121EB8" w:rsidP="00121EB8">
            <w:pPr>
              <w:pStyle w:val="BodyText"/>
            </w:pPr>
            <w:r w:rsidRPr="00121EB8">
              <w:t>Calculations are required to adjust properties, such as:</w:t>
            </w:r>
          </w:p>
          <w:p w:rsidR="00000000" w:rsidRPr="00121EB8" w:rsidP="00121EB8">
            <w:pPr>
              <w:pStyle w:val="ListBullet"/>
            </w:pPr>
            <w:r w:rsidRPr="00121EB8">
              <w:t>assay/potency</w:t>
            </w:r>
          </w:p>
          <w:p w:rsidR="00000000" w:rsidRPr="00121EB8" w:rsidP="00121EB8">
            <w:pPr>
              <w:pStyle w:val="ListBullet"/>
            </w:pPr>
            <w:r w:rsidRPr="00121EB8">
              <w:t>viscosity</w:t>
            </w:r>
          </w:p>
          <w:p w:rsidR="00000000" w:rsidRPr="00121EB8" w:rsidP="00121EB8">
            <w:pPr>
              <w:pStyle w:val="ListBullet"/>
            </w:pPr>
            <w:r w:rsidRPr="00121EB8">
              <w:t>application payload</w:t>
            </w:r>
          </w:p>
          <w:p w:rsidR="00000000" w:rsidRPr="00121EB8" w:rsidP="00121EB8">
            <w:pPr>
              <w:pStyle w:val="ListBullet"/>
            </w:pPr>
            <w:r w:rsidRPr="00121EB8">
              <w:t>hardness</w:t>
            </w:r>
          </w:p>
          <w:p w:rsidR="00000000" w:rsidRPr="00121EB8" w:rsidP="00121EB8">
            <w:pPr>
              <w:pStyle w:val="ListBullet"/>
            </w:pPr>
            <w:r w:rsidRPr="00121EB8">
              <w:t>moisture content</w:t>
            </w:r>
          </w:p>
          <w:p w:rsidR="00000000" w:rsidRPr="00121EB8" w:rsidP="00121EB8">
            <w:pPr>
              <w:pStyle w:val="ListBullet"/>
            </w:pPr>
            <w:r w:rsidRPr="00121EB8">
              <w:t>colour</w:t>
            </w:r>
          </w:p>
          <w:p w:rsidR="00000000" w:rsidP="00121EB8">
            <w:pPr>
              <w:pStyle w:val="BodyText"/>
              <w:rPr>
                <w:lang w:val="en-NZ"/>
              </w:rPr>
            </w:pPr>
          </w:p>
        </w:tc>
      </w:tr>
      <w:tr w:rsidTr="0082236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21EB8">
            <w:pPr>
              <w:pStyle w:val="BodyText"/>
              <w:rPr>
                <w:lang w:val="en-NZ"/>
              </w:rPr>
            </w:pPr>
            <w:r w:rsidRPr="00121EB8">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121EB8" w:rsidP="00121EB8">
            <w:pPr>
              <w:pStyle w:val="BodyText"/>
            </w:pPr>
            <w:r w:rsidRPr="00121EB8">
              <w:t>WHS and environmental management requirements include:</w:t>
            </w:r>
          </w:p>
          <w:p w:rsidR="00000000" w:rsidRPr="00121EB8" w:rsidP="00121EB8">
            <w:pPr>
              <w:pStyle w:val="BodyText"/>
            </w:pPr>
            <w:r w:rsidRPr="00121EB8">
              <w:rPr>
                <w:rStyle w:val="Symbols"/>
              </w:rPr>
              <w:t></w:t>
            </w:r>
            <w:r w:rsidRPr="00121EB8">
              <w:rPr>
                <w:rStyle w:val="Symbols"/>
              </w:rPr>
              <w:tab/>
            </w:r>
            <w:r w:rsidRPr="00121EB8">
              <w:t>complying with WHS and environmental management requirements at all times, which may be imposed through state/territory or federal legislation. These re</w:t>
            </w:r>
            <w:r w:rsidRPr="00121EB8">
              <w:t>quirements must not be compromised at any time</w:t>
            </w:r>
          </w:p>
          <w:p w:rsidR="00000000" w:rsidRPr="00121EB8" w:rsidP="00121EB8">
            <w:pPr>
              <w:pStyle w:val="BodyText"/>
            </w:pPr>
            <w:r w:rsidRPr="00121EB8">
              <w:rPr>
                <w:rStyle w:val="Symbols"/>
              </w:rPr>
              <w:t></w:t>
            </w:r>
            <w:r w:rsidRPr="00121EB8">
              <w:rPr>
                <w:rStyle w:val="Symbols"/>
              </w:rPr>
              <w:tab/>
            </w:r>
            <w:r w:rsidRPr="00121EB8">
              <w:t>applying standard precautions relating to the potentially hazardous nature of samples</w:t>
            </w:r>
          </w:p>
          <w:p w:rsidR="00000000" w:rsidRPr="00121EB8" w:rsidP="00121EB8">
            <w:pPr>
              <w:pStyle w:val="ListBullet"/>
            </w:pPr>
            <w:r w:rsidRPr="00121EB8">
              <w:t xml:space="preserve">accessing and applying current industry understanding of infection control issued </w:t>
            </w:r>
            <w:r w:rsidRPr="00121EB8">
              <w:t>by the National Health and Medical Research Council (NHMRC) and State and Territory Departments of Health, where relevant</w:t>
            </w:r>
          </w:p>
        </w:tc>
      </w:tr>
    </w:tbl>
    <w:p w:rsidR="00000000" w:rsidRPr="00121EB8" w:rsidP="00121EB8">
      <w:pPr>
        <w:pStyle w:val="BodyText"/>
      </w:pPr>
    </w:p>
    <w:p w:rsidR="00000000" w:rsidRPr="00121EB8" w:rsidP="00121EB8">
      <w:pPr>
        <w:pStyle w:val="AllowPageBreak"/>
      </w:pPr>
    </w:p>
    <w:p w:rsidR="00000000" w:rsidRPr="00121EB8" w:rsidP="00121EB8">
      <w:pPr>
        <w:pStyle w:val="Heading1"/>
      </w:pPr>
      <w:bookmarkStart w:id="9" w:name="O_902086"/>
      <w:bookmarkEnd w:id="9"/>
      <w:r w:rsidRPr="00121EB8">
        <w:t>Unit Mapping Information</w:t>
      </w:r>
    </w:p>
    <w:p w:rsidR="00000000" w:rsidRPr="00121EB8" w:rsidP="00121EB8">
      <w:pPr>
        <w:pStyle w:val="BodyText"/>
      </w:pPr>
      <w:r w:rsidRPr="00121EB8">
        <w:t>Release 1. Supersedes and is equivalent to MSL977001A Contribute to the development of pro</w:t>
      </w:r>
      <w:r w:rsidRPr="00121EB8">
        <w:t>ducts and applications</w:t>
      </w:r>
    </w:p>
    <w:p w:rsidR="00000000" w:rsidRPr="00121EB8" w:rsidP="00121EB8">
      <w:pPr>
        <w:pStyle w:val="AllowPageBreak"/>
      </w:pPr>
    </w:p>
    <w:p w:rsidR="00000000" w:rsidRPr="00121EB8" w:rsidP="00121EB8">
      <w:pPr>
        <w:pStyle w:val="Heading1"/>
      </w:pPr>
      <w:bookmarkStart w:id="10" w:name="O_902079"/>
      <w:bookmarkEnd w:id="10"/>
      <w:r w:rsidRPr="00121EB8">
        <w:t>Links</w:t>
      </w:r>
    </w:p>
    <w:p w:rsidR="00000000" w:rsidRPr="00121EB8" w:rsidP="00121EB8">
      <w:pPr>
        <w:pStyle w:val="BodyText"/>
      </w:pPr>
      <w:r w:rsidRPr="00121EB8">
        <w:t>MSA Training Package Implementation Guides - http://mskills.org.au/training-packages/info/</w:t>
      </w:r>
    </w:p>
    <w:p w:rsidR="00000000" w:rsidRPr="00121EB8" w:rsidP="00121EB8"/>
    <w:sectPr w:rsidSect="00121E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E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EB8" w:rsidRPr="00822367" w:rsidP="008223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E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367" w:rsidP="00121E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22367" w:rsidP="00121EB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22367" w:rsidP="00121E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E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EB8" w:rsidRPr="00822367" w:rsidP="008223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E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367" w:rsidRPr="002D2AF8" w:rsidP="00121EB8">
    <w:pPr>
      <w:pStyle w:val="Header"/>
      <w:framePr w:wrap="around"/>
    </w:pPr>
    <w:r>
      <w:fldChar w:fldCharType="begin"/>
    </w:r>
    <w:r>
      <w:instrText xml:space="preserve"> TITLE   \* MERGEFORMAT </w:instrText>
    </w:r>
    <w:r>
      <w:fldChar w:fldCharType="separate"/>
    </w:r>
    <w:r>
      <w:t>MSL977001 Contribute to the development of products and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822367" w:rsidP="00121E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6497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7085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E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EB8"/>
    <w:pPr>
      <w:spacing w:before="360" w:after="60"/>
      <w:outlineLvl w:val="0"/>
    </w:pPr>
    <w:rPr>
      <w:sz w:val="32"/>
    </w:rPr>
  </w:style>
  <w:style w:type="paragraph" w:styleId="Heading2">
    <w:name w:val="heading 2"/>
    <w:basedOn w:val="HeadingBase"/>
    <w:next w:val="BodyText"/>
    <w:link w:val="Heading2Char"/>
    <w:qFormat/>
    <w:rsid w:val="00121EB8"/>
    <w:pPr>
      <w:keepLines/>
      <w:spacing w:before="240" w:after="120"/>
      <w:outlineLvl w:val="1"/>
    </w:pPr>
    <w:rPr>
      <w:sz w:val="28"/>
      <w:szCs w:val="40"/>
    </w:rPr>
  </w:style>
  <w:style w:type="paragraph" w:styleId="Heading3">
    <w:name w:val="heading 3"/>
    <w:basedOn w:val="HeadingBase"/>
    <w:next w:val="BodyText"/>
    <w:link w:val="Heading3Char"/>
    <w:qFormat/>
    <w:rsid w:val="00121EB8"/>
    <w:pPr>
      <w:spacing w:before="180" w:after="120"/>
      <w:outlineLvl w:val="2"/>
    </w:pPr>
    <w:rPr>
      <w:spacing w:val="-10"/>
      <w:kern w:val="32"/>
    </w:rPr>
  </w:style>
  <w:style w:type="paragraph" w:styleId="Heading4">
    <w:name w:val="heading 4"/>
    <w:basedOn w:val="HeadingBase"/>
    <w:next w:val="BodyText"/>
    <w:link w:val="Heading4Char"/>
    <w:qFormat/>
    <w:rsid w:val="00121EB8"/>
    <w:pPr>
      <w:spacing w:before="160" w:after="120"/>
      <w:outlineLvl w:val="3"/>
    </w:pPr>
    <w:rPr>
      <w:sz w:val="22"/>
    </w:rPr>
  </w:style>
  <w:style w:type="paragraph" w:styleId="Heading5">
    <w:name w:val="heading 5"/>
    <w:basedOn w:val="HeadingBase"/>
    <w:next w:val="Normal"/>
    <w:link w:val="Heading5Char"/>
    <w:qFormat/>
    <w:rsid w:val="00121EB8"/>
    <w:pPr>
      <w:spacing w:before="80"/>
      <w:outlineLvl w:val="4"/>
    </w:pPr>
    <w:rPr>
      <w:color w:val="918585"/>
      <w:sz w:val="20"/>
    </w:rPr>
  </w:style>
  <w:style w:type="paragraph" w:styleId="Heading6">
    <w:name w:val="heading 6"/>
    <w:basedOn w:val="HeadingBase"/>
    <w:next w:val="Normal"/>
    <w:link w:val="Heading6Char"/>
    <w:qFormat/>
    <w:rsid w:val="00121EB8"/>
    <w:pPr>
      <w:spacing w:before="60"/>
      <w:outlineLvl w:val="5"/>
    </w:pPr>
    <w:rPr>
      <w:color w:val="918585"/>
      <w:sz w:val="20"/>
    </w:rPr>
  </w:style>
  <w:style w:type="paragraph" w:styleId="Heading7">
    <w:name w:val="heading 7"/>
    <w:basedOn w:val="Normal"/>
    <w:next w:val="Normal"/>
    <w:link w:val="Heading7Char"/>
    <w:qFormat/>
    <w:rsid w:val="00121EB8"/>
    <w:pPr>
      <w:ind w:left="720"/>
      <w:outlineLvl w:val="6"/>
    </w:pPr>
    <w:rPr>
      <w:i/>
    </w:rPr>
  </w:style>
  <w:style w:type="paragraph" w:styleId="Heading8">
    <w:name w:val="heading 8"/>
    <w:basedOn w:val="Normal"/>
    <w:next w:val="Normal"/>
    <w:link w:val="Heading8Char"/>
    <w:qFormat/>
    <w:rsid w:val="00121EB8"/>
    <w:pPr>
      <w:ind w:left="720"/>
      <w:outlineLvl w:val="7"/>
    </w:pPr>
    <w:rPr>
      <w:i/>
    </w:rPr>
  </w:style>
  <w:style w:type="paragraph" w:styleId="Heading9">
    <w:name w:val="heading 9"/>
    <w:basedOn w:val="Normal"/>
    <w:next w:val="Normal"/>
    <w:link w:val="Heading9Char"/>
    <w:qFormat/>
    <w:rsid w:val="00121EB8"/>
    <w:pPr>
      <w:ind w:left="720"/>
      <w:outlineLvl w:val="8"/>
    </w:pPr>
    <w:rPr>
      <w:i/>
    </w:rPr>
  </w:style>
  <w:style w:type="character" w:default="1" w:styleId="DefaultParagraphFont">
    <w:name w:val="Default Paragraph Font"/>
    <w:uiPriority w:val="1"/>
    <w:unhideWhenUsed/>
    <w:rsid w:val="00121E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EB8"/>
  </w:style>
  <w:style w:type="character" w:customStyle="1" w:styleId="Heading1Char">
    <w:name w:val="Heading 1 Char"/>
    <w:basedOn w:val="DefaultParagraphFont"/>
    <w:link w:val="Heading1"/>
    <w:rsid w:val="00121EB8"/>
    <w:rPr>
      <w:rFonts w:ascii="Times New Roman" w:eastAsia="Times New Roman" w:hAnsi="Times New Roman" w:cs="Times New Roman"/>
      <w:b/>
      <w:sz w:val="32"/>
      <w:szCs w:val="20"/>
      <w:lang w:eastAsia="en-US"/>
    </w:rPr>
  </w:style>
  <w:style w:type="paragraph" w:styleId="BodyText">
    <w:name w:val="Body Text"/>
    <w:basedOn w:val="Normal"/>
    <w:link w:val="BodyTextChar"/>
    <w:rsid w:val="00121E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1EB8"/>
    <w:rPr>
      <w:rFonts w:ascii="Times New Roman" w:eastAsia="Times New Roman" w:hAnsi="Times New Roman" w:cs="Times New Roman"/>
      <w:sz w:val="24"/>
      <w:lang w:eastAsia="en-US"/>
    </w:rPr>
  </w:style>
  <w:style w:type="paragraph" w:styleId="ListBullet">
    <w:name w:val="List Bullet"/>
    <w:basedOn w:val="List"/>
    <w:rsid w:val="00121EB8"/>
    <w:pPr>
      <w:numPr>
        <w:numId w:val="12"/>
      </w:numPr>
      <w:tabs>
        <w:tab w:val="clear" w:pos="340"/>
      </w:tabs>
      <w:spacing w:before="40" w:after="40"/>
    </w:pPr>
  </w:style>
  <w:style w:type="character" w:customStyle="1" w:styleId="SpecialBold">
    <w:name w:val="Special Bold"/>
    <w:basedOn w:val="DefaultParagraphFont"/>
    <w:rsid w:val="00121EB8"/>
    <w:rPr>
      <w:b/>
      <w:spacing w:val="0"/>
    </w:rPr>
  </w:style>
  <w:style w:type="paragraph" w:customStyle="1" w:styleId="SuperHeading">
    <w:name w:val="SuperHeading"/>
    <w:basedOn w:val="Normal"/>
    <w:rsid w:val="00121EB8"/>
    <w:pPr>
      <w:spacing w:before="240" w:after="120"/>
      <w:outlineLvl w:val="0"/>
    </w:pPr>
    <w:rPr>
      <w:rFonts w:ascii="Times New Roman" w:hAnsi="Times New Roman"/>
      <w:b/>
      <w:sz w:val="32"/>
    </w:rPr>
  </w:style>
  <w:style w:type="paragraph" w:customStyle="1" w:styleId="AllowPageBreak">
    <w:name w:val="AllowPageBreak"/>
    <w:rsid w:val="00121E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121EB8"/>
    <w:rPr>
      <w:rFonts w:ascii="Symbol" w:hAnsi="Symbol"/>
    </w:rPr>
  </w:style>
  <w:style w:type="character" w:customStyle="1" w:styleId="Heading2Char">
    <w:name w:val="Heading 2 Char"/>
    <w:basedOn w:val="DefaultParagraphFont"/>
    <w:link w:val="Heading2"/>
    <w:rsid w:val="00121E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E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E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E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E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E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E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EB8"/>
    <w:rPr>
      <w:rFonts w:ascii="Courier New" w:eastAsia="Times New Roman" w:hAnsi="Courier New" w:cs="Times New Roman"/>
      <w:i/>
      <w:szCs w:val="20"/>
      <w:lang w:eastAsia="en-US"/>
    </w:rPr>
  </w:style>
  <w:style w:type="paragraph" w:customStyle="1" w:styleId="HeadingBase">
    <w:name w:val="Heading Base"/>
    <w:rsid w:val="00121E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EB8"/>
    <w:pPr>
      <w:tabs>
        <w:tab w:val="right" w:leader="dot" w:pos="9072"/>
      </w:tabs>
      <w:ind w:left="567"/>
    </w:pPr>
    <w:rPr>
      <w:szCs w:val="22"/>
    </w:rPr>
  </w:style>
  <w:style w:type="paragraph" w:customStyle="1" w:styleId="TOCBase">
    <w:name w:val="TOC Base"/>
    <w:rsid w:val="00121E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EB8"/>
    <w:pPr>
      <w:tabs>
        <w:tab w:val="right" w:leader="dot" w:pos="9072"/>
      </w:tabs>
      <w:spacing w:before="40" w:after="40"/>
      <w:ind w:left="284"/>
    </w:pPr>
    <w:rPr>
      <w:rFonts w:ascii="Times New Roman" w:hAnsi="Times New Roman"/>
    </w:rPr>
  </w:style>
  <w:style w:type="paragraph" w:styleId="TOC1">
    <w:name w:val="toc 1"/>
    <w:basedOn w:val="TOCBase"/>
    <w:next w:val="Normal"/>
    <w:rsid w:val="00121E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E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EB8"/>
    <w:rPr>
      <w:rFonts w:ascii="Times New Roman" w:eastAsia="Times New Roman" w:hAnsi="Times New Roman" w:cs="Times New Roman"/>
      <w:sz w:val="16"/>
      <w:lang w:eastAsia="en-US"/>
    </w:rPr>
  </w:style>
  <w:style w:type="paragraph" w:styleId="Title">
    <w:name w:val="Title"/>
    <w:basedOn w:val="HeadingBase"/>
    <w:link w:val="TitleChar"/>
    <w:qFormat/>
    <w:rsid w:val="00121EB8"/>
    <w:pPr>
      <w:spacing w:before="5040"/>
      <w:jc w:val="center"/>
    </w:pPr>
    <w:rPr>
      <w:sz w:val="48"/>
      <w:szCs w:val="72"/>
      <w:lang w:val="en-US"/>
    </w:rPr>
  </w:style>
  <w:style w:type="character" w:customStyle="1" w:styleId="TitleChar">
    <w:name w:val="Title Char"/>
    <w:basedOn w:val="DefaultParagraphFont"/>
    <w:link w:val="Title"/>
    <w:rsid w:val="00121E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EB8"/>
    <w:pPr>
      <w:tabs>
        <w:tab w:val="left" w:pos="3600"/>
        <w:tab w:val="left" w:pos="3958"/>
      </w:tabs>
    </w:pPr>
  </w:style>
  <w:style w:type="paragraph" w:styleId="List">
    <w:name w:val="List"/>
    <w:basedOn w:val="BodyText"/>
    <w:next w:val="BodyText"/>
    <w:rsid w:val="00121EB8"/>
    <w:pPr>
      <w:tabs>
        <w:tab w:val="left" w:pos="340"/>
      </w:tabs>
      <w:spacing w:before="60" w:after="60"/>
      <w:ind w:left="340" w:hanging="340"/>
    </w:pPr>
  </w:style>
  <w:style w:type="paragraph" w:customStyle="1" w:styleId="Note">
    <w:name w:val="Note"/>
    <w:basedOn w:val="BodyText"/>
    <w:rsid w:val="00121E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EB8"/>
    <w:pPr>
      <w:framePr w:wrap="auto" w:hAnchor="text" w:y="6049"/>
    </w:pPr>
    <w:rPr>
      <w:color w:val="000000"/>
      <w:sz w:val="40"/>
    </w:rPr>
  </w:style>
  <w:style w:type="paragraph" w:customStyle="1" w:styleId="TOCTitle">
    <w:name w:val="TOCTitle"/>
    <w:basedOn w:val="Heading1"/>
    <w:rsid w:val="00121EB8"/>
    <w:pPr>
      <w:spacing w:after="240"/>
      <w:jc w:val="center"/>
      <w:outlineLvl w:val="9"/>
    </w:pPr>
    <w:rPr>
      <w:caps/>
    </w:rPr>
  </w:style>
  <w:style w:type="paragraph" w:customStyle="1" w:styleId="Version">
    <w:name w:val="Version"/>
    <w:rsid w:val="00121E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1EB8"/>
    <w:pPr>
      <w:numPr>
        <w:numId w:val="13"/>
      </w:numPr>
      <w:tabs>
        <w:tab w:val="clear" w:pos="680"/>
      </w:tabs>
    </w:pPr>
  </w:style>
  <w:style w:type="paragraph" w:styleId="Index1">
    <w:name w:val="index 1"/>
    <w:basedOn w:val="Normal"/>
    <w:next w:val="Normal"/>
    <w:semiHidden/>
    <w:rsid w:val="00121EB8"/>
    <w:pPr>
      <w:keepNext w:val="0"/>
      <w:tabs>
        <w:tab w:val="right" w:pos="4176"/>
      </w:tabs>
      <w:ind w:left="198" w:hanging="198"/>
    </w:pPr>
    <w:rPr>
      <w:rFonts w:ascii="Garamond" w:hAnsi="Garamond"/>
    </w:rPr>
  </w:style>
  <w:style w:type="paragraph" w:styleId="IndexHeading">
    <w:name w:val="index heading"/>
    <w:basedOn w:val="Normal"/>
    <w:next w:val="Index1"/>
    <w:semiHidden/>
    <w:rsid w:val="00121EB8"/>
    <w:pPr>
      <w:spacing w:before="120" w:after="120"/>
    </w:pPr>
    <w:rPr>
      <w:rFonts w:ascii="Arial" w:hAnsi="Arial"/>
      <w:b/>
      <w:color w:val="918585"/>
      <w:sz w:val="24"/>
    </w:rPr>
  </w:style>
  <w:style w:type="paragraph" w:styleId="Header">
    <w:name w:val="header"/>
    <w:basedOn w:val="Normal"/>
    <w:link w:val="HeaderChar"/>
    <w:rsid w:val="00121E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EB8"/>
    <w:rPr>
      <w:rFonts w:ascii="Times New Roman" w:eastAsia="Times New Roman" w:hAnsi="Times New Roman" w:cs="Times New Roman"/>
      <w:sz w:val="16"/>
      <w:szCs w:val="20"/>
      <w:lang w:val="en-GB" w:eastAsia="en-US"/>
    </w:rPr>
  </w:style>
  <w:style w:type="paragraph" w:customStyle="1" w:styleId="Chapter">
    <w:name w:val="Chapter"/>
    <w:basedOn w:val="Normal"/>
    <w:rsid w:val="00121EB8"/>
    <w:pPr>
      <w:spacing w:before="240"/>
    </w:pPr>
    <w:rPr>
      <w:rFonts w:ascii="Times New Roman" w:hAnsi="Times New Roman"/>
      <w:smallCaps/>
      <w:spacing w:val="80"/>
      <w:sz w:val="28"/>
    </w:rPr>
  </w:style>
  <w:style w:type="paragraph" w:customStyle="1" w:styleId="InChapter">
    <w:name w:val="InChapter"/>
    <w:basedOn w:val="Heading3"/>
    <w:rsid w:val="00121EB8"/>
    <w:pPr>
      <w:spacing w:after="240"/>
      <w:outlineLvl w:val="9"/>
    </w:pPr>
    <w:rPr>
      <w:noProof/>
    </w:rPr>
  </w:style>
  <w:style w:type="paragraph" w:styleId="Index2">
    <w:name w:val="index 2"/>
    <w:basedOn w:val="Normal"/>
    <w:next w:val="Normal"/>
    <w:semiHidden/>
    <w:rsid w:val="00121EB8"/>
    <w:pPr>
      <w:tabs>
        <w:tab w:val="right" w:pos="4176"/>
      </w:tabs>
      <w:ind w:left="568" w:hanging="284"/>
    </w:pPr>
    <w:rPr>
      <w:rFonts w:ascii="Garamond" w:hAnsi="Garamond"/>
    </w:rPr>
  </w:style>
  <w:style w:type="paragraph" w:customStyle="1" w:styleId="Byline">
    <w:name w:val="Byline"/>
    <w:rsid w:val="00121E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EB8"/>
    <w:pPr>
      <w:tabs>
        <w:tab w:val="clear" w:pos="3600"/>
        <w:tab w:val="clear" w:pos="3958"/>
      </w:tabs>
      <w:jc w:val="right"/>
    </w:pPr>
  </w:style>
  <w:style w:type="character" w:styleId="Emphasis">
    <w:name w:val="Emphasis"/>
    <w:basedOn w:val="DefaultParagraphFont"/>
    <w:qFormat/>
    <w:rsid w:val="00121EB8"/>
    <w:rPr>
      <w:i/>
    </w:rPr>
  </w:style>
  <w:style w:type="paragraph" w:styleId="Caption">
    <w:name w:val="caption"/>
    <w:basedOn w:val="BodyText"/>
    <w:next w:val="Normal"/>
    <w:qFormat/>
    <w:rsid w:val="00121EB8"/>
    <w:pPr>
      <w:framePr w:w="2268" w:hSpace="181" w:vSpace="181" w:wrap="around" w:vAnchor="text" w:hAnchor="page" w:x="1135" w:y="285" w:anchorLock="1"/>
    </w:pPr>
    <w:rPr>
      <w:i/>
    </w:rPr>
  </w:style>
  <w:style w:type="paragraph" w:customStyle="1" w:styleId="MiniTOCTitle">
    <w:name w:val="MiniTOCTitle"/>
    <w:basedOn w:val="Heading4"/>
    <w:rsid w:val="00121EB8"/>
    <w:pPr>
      <w:spacing w:before="240"/>
      <w:outlineLvl w:val="9"/>
    </w:pPr>
    <w:rPr>
      <w:noProof/>
      <w:sz w:val="24"/>
    </w:rPr>
  </w:style>
  <w:style w:type="paragraph" w:customStyle="1" w:styleId="MiniTOCItem">
    <w:name w:val="MiniTOCItem"/>
    <w:basedOn w:val="ListBullet"/>
    <w:rsid w:val="00121EB8"/>
    <w:pPr>
      <w:numPr>
        <w:numId w:val="0"/>
      </w:numPr>
      <w:tabs>
        <w:tab w:val="right" w:leader="dot" w:pos="6521"/>
      </w:tabs>
      <w:spacing w:before="0" w:after="0"/>
    </w:pPr>
  </w:style>
  <w:style w:type="paragraph" w:customStyle="1" w:styleId="TOFTitle">
    <w:name w:val="TOFTitle"/>
    <w:basedOn w:val="TOCTitle"/>
    <w:rsid w:val="00121EB8"/>
  </w:style>
  <w:style w:type="paragraph" w:styleId="TableofFigures">
    <w:name w:val="table of figures"/>
    <w:basedOn w:val="Normal"/>
    <w:next w:val="Normal"/>
    <w:semiHidden/>
    <w:rsid w:val="00121EB8"/>
    <w:pPr>
      <w:tabs>
        <w:tab w:val="right" w:leader="dot" w:pos="9072"/>
      </w:tabs>
      <w:ind w:left="970" w:hanging="403"/>
    </w:pPr>
    <w:rPr>
      <w:rFonts w:ascii="Times New Roman" w:hAnsi="Times New Roman"/>
      <w:b/>
    </w:rPr>
  </w:style>
  <w:style w:type="paragraph" w:styleId="ListNumber">
    <w:name w:val="List Number"/>
    <w:basedOn w:val="List"/>
    <w:rsid w:val="00121EB8"/>
    <w:pPr>
      <w:numPr>
        <w:numId w:val="10"/>
      </w:numPr>
    </w:pPr>
  </w:style>
  <w:style w:type="character" w:customStyle="1" w:styleId="WingdingSymbols">
    <w:name w:val="Wingding Symbols"/>
    <w:rsid w:val="00121EB8"/>
    <w:rPr>
      <w:rFonts w:ascii="Wingdings" w:hAnsi="Wingdings"/>
    </w:rPr>
  </w:style>
  <w:style w:type="paragraph" w:customStyle="1" w:styleId="TableHeading">
    <w:name w:val="Table Heading"/>
    <w:basedOn w:val="HeadingBase"/>
    <w:rsid w:val="00121EB8"/>
    <w:pPr>
      <w:keepLines/>
      <w:pBdr>
        <w:bottom w:val="single" w:sz="6" w:space="1" w:color="918585"/>
      </w:pBdr>
      <w:spacing w:before="240"/>
    </w:pPr>
  </w:style>
  <w:style w:type="character" w:customStyle="1" w:styleId="HotSpot">
    <w:name w:val="HotSpot"/>
    <w:rsid w:val="00121EB8"/>
    <w:rPr>
      <w:color w:val="0033CC"/>
      <w:u w:val="none"/>
    </w:rPr>
  </w:style>
  <w:style w:type="paragraph" w:customStyle="1" w:styleId="BodyTextRight">
    <w:name w:val="Body Text Right"/>
    <w:basedOn w:val="BodyText"/>
    <w:rsid w:val="00121EB8"/>
    <w:pPr>
      <w:spacing w:before="0" w:after="0"/>
      <w:jc w:val="right"/>
    </w:pPr>
  </w:style>
  <w:style w:type="paragraph" w:styleId="Index3">
    <w:name w:val="index 3"/>
    <w:basedOn w:val="ListNumber2"/>
    <w:next w:val="Normal"/>
    <w:semiHidden/>
    <w:rsid w:val="00121EB8"/>
    <w:pPr>
      <w:numPr>
        <w:numId w:val="0"/>
      </w:numPr>
      <w:tabs>
        <w:tab w:val="right" w:leader="dot" w:pos="4176"/>
      </w:tabs>
    </w:pPr>
  </w:style>
  <w:style w:type="paragraph" w:styleId="ListNumber2">
    <w:name w:val="List Number 2"/>
    <w:basedOn w:val="List2"/>
    <w:rsid w:val="00121EB8"/>
    <w:pPr>
      <w:numPr>
        <w:numId w:val="9"/>
      </w:numPr>
      <w:tabs>
        <w:tab w:val="clear" w:pos="1060"/>
      </w:tabs>
    </w:pPr>
  </w:style>
  <w:style w:type="paragraph" w:customStyle="1" w:styleId="MarginNote">
    <w:name w:val="Margin Note"/>
    <w:basedOn w:val="BodyText"/>
    <w:rsid w:val="00121E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E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E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EB8"/>
    <w:rPr>
      <w:sz w:val="32"/>
    </w:rPr>
  </w:style>
  <w:style w:type="paragraph" w:customStyle="1" w:styleId="HeadingProcedure">
    <w:name w:val="Heading Procedure"/>
    <w:basedOn w:val="HeadingBase"/>
    <w:next w:val="Normal"/>
    <w:rsid w:val="00121EB8"/>
    <w:pPr>
      <w:tabs>
        <w:tab w:val="left" w:pos="0"/>
      </w:tabs>
      <w:spacing w:before="120" w:after="60"/>
    </w:pPr>
    <w:rPr>
      <w:i/>
      <w:color w:val="918585"/>
      <w:sz w:val="22"/>
    </w:rPr>
  </w:style>
  <w:style w:type="paragraph" w:customStyle="1" w:styleId="TableBodyText">
    <w:name w:val="Table Body Text"/>
    <w:basedOn w:val="BodyText"/>
    <w:rsid w:val="00121EB8"/>
    <w:pPr>
      <w:spacing w:before="60" w:after="60"/>
    </w:pPr>
  </w:style>
  <w:style w:type="paragraph" w:styleId="ListContinue">
    <w:name w:val="List Continue"/>
    <w:basedOn w:val="List"/>
    <w:rsid w:val="00121EB8"/>
    <w:pPr>
      <w:ind w:firstLine="0"/>
    </w:pPr>
  </w:style>
  <w:style w:type="paragraph" w:customStyle="1" w:styleId="ListNote">
    <w:name w:val="List Note"/>
    <w:basedOn w:val="List"/>
    <w:rsid w:val="00121EB8"/>
    <w:pPr>
      <w:pBdr>
        <w:top w:val="single" w:sz="6" w:space="2" w:color="918585"/>
        <w:bottom w:val="single" w:sz="6" w:space="2" w:color="918585"/>
      </w:pBdr>
      <w:tabs>
        <w:tab w:val="left" w:pos="1021"/>
      </w:tabs>
      <w:ind w:firstLine="0"/>
    </w:pPr>
  </w:style>
  <w:style w:type="paragraph" w:customStyle="1" w:styleId="Warning">
    <w:name w:val="Warning"/>
    <w:basedOn w:val="BodyText"/>
    <w:rsid w:val="00121EB8"/>
    <w:pPr>
      <w:shd w:val="clear" w:color="auto" w:fill="D9D9D9"/>
      <w:tabs>
        <w:tab w:val="left" w:pos="992"/>
      </w:tabs>
      <w:ind w:left="119" w:right="119"/>
    </w:pPr>
    <w:rPr>
      <w:sz w:val="20"/>
    </w:rPr>
  </w:style>
  <w:style w:type="paragraph" w:customStyle="1" w:styleId="MarginIcons">
    <w:name w:val="Margin Icons"/>
    <w:basedOn w:val="BodyText"/>
    <w:rsid w:val="00121E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EB8"/>
    <w:rPr>
      <w:rFonts w:ascii="Courier New" w:hAnsi="Courier New"/>
    </w:rPr>
  </w:style>
  <w:style w:type="paragraph" w:customStyle="1" w:styleId="NoteBullet">
    <w:name w:val="Note Bullet"/>
    <w:basedOn w:val="Note"/>
    <w:rsid w:val="00121EB8"/>
    <w:pPr>
      <w:tabs>
        <w:tab w:val="clear" w:pos="680"/>
      </w:tabs>
      <w:spacing w:before="60" w:after="60"/>
    </w:pPr>
  </w:style>
  <w:style w:type="paragraph" w:customStyle="1" w:styleId="SubHeading2">
    <w:name w:val="SubHeading2"/>
    <w:basedOn w:val="HeadingBase"/>
    <w:rsid w:val="00121EB8"/>
    <w:pPr>
      <w:spacing w:before="240" w:after="60"/>
    </w:pPr>
    <w:rPr>
      <w:sz w:val="20"/>
    </w:rPr>
  </w:style>
  <w:style w:type="paragraph" w:customStyle="1" w:styleId="SubHeading1">
    <w:name w:val="SubHeading1"/>
    <w:basedOn w:val="HeadingBase"/>
    <w:rsid w:val="00121EB8"/>
    <w:pPr>
      <w:spacing w:before="240" w:after="60"/>
    </w:pPr>
    <w:rPr>
      <w:color w:val="918585"/>
      <w:sz w:val="22"/>
    </w:rPr>
  </w:style>
  <w:style w:type="paragraph" w:customStyle="1" w:styleId="SideHeading">
    <w:name w:val="Side Heading"/>
    <w:basedOn w:val="HeadingBase"/>
    <w:rsid w:val="00121E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EB8"/>
    <w:pPr>
      <w:tabs>
        <w:tab w:val="num" w:pos="360"/>
      </w:tabs>
    </w:pPr>
  </w:style>
  <w:style w:type="paragraph" w:styleId="PlainText">
    <w:name w:val="Plain Text"/>
    <w:basedOn w:val="Normal"/>
    <w:link w:val="PlainTextChar"/>
    <w:rsid w:val="00121EB8"/>
    <w:rPr>
      <w:sz w:val="20"/>
    </w:rPr>
  </w:style>
  <w:style w:type="character" w:customStyle="1" w:styleId="PlainTextChar">
    <w:name w:val="Plain Text Char"/>
    <w:basedOn w:val="DefaultParagraphFont"/>
    <w:link w:val="PlainText"/>
    <w:rsid w:val="00121EB8"/>
    <w:rPr>
      <w:rFonts w:ascii="Courier New" w:eastAsia="Times New Roman" w:hAnsi="Courier New" w:cs="Times New Roman"/>
      <w:sz w:val="20"/>
      <w:szCs w:val="20"/>
      <w:lang w:eastAsia="en-US"/>
    </w:rPr>
  </w:style>
  <w:style w:type="character" w:customStyle="1" w:styleId="MenuOption">
    <w:name w:val="Menu Option"/>
    <w:basedOn w:val="DefaultParagraphFont"/>
    <w:rsid w:val="00121EB8"/>
    <w:rPr>
      <w:b/>
      <w:smallCaps/>
    </w:rPr>
  </w:style>
  <w:style w:type="paragraph" w:customStyle="1" w:styleId="TableListNumber">
    <w:name w:val="Table List Number"/>
    <w:basedOn w:val="ListNumber"/>
    <w:rsid w:val="00121EB8"/>
    <w:pPr>
      <w:numPr>
        <w:numId w:val="0"/>
      </w:numPr>
    </w:pPr>
  </w:style>
  <w:style w:type="paragraph" w:styleId="TOC4">
    <w:name w:val="toc 4"/>
    <w:basedOn w:val="TOCBase"/>
    <w:next w:val="Normal"/>
    <w:semiHidden/>
    <w:rsid w:val="00121EB8"/>
    <w:pPr>
      <w:tabs>
        <w:tab w:val="right" w:leader="dot" w:pos="9071"/>
      </w:tabs>
      <w:ind w:left="1701"/>
    </w:pPr>
  </w:style>
  <w:style w:type="paragraph" w:customStyle="1" w:styleId="ListAlpha">
    <w:name w:val="List Alpha"/>
    <w:basedOn w:val="List"/>
    <w:rsid w:val="00121EB8"/>
    <w:pPr>
      <w:numPr>
        <w:numId w:val="8"/>
      </w:numPr>
    </w:pPr>
  </w:style>
  <w:style w:type="paragraph" w:customStyle="1" w:styleId="ListAlpha2">
    <w:name w:val="List Alpha 2"/>
    <w:basedOn w:val="List2"/>
    <w:rsid w:val="00121EB8"/>
    <w:pPr>
      <w:numPr>
        <w:numId w:val="7"/>
      </w:numPr>
    </w:pPr>
  </w:style>
  <w:style w:type="paragraph" w:styleId="List2">
    <w:name w:val="List 2"/>
    <w:basedOn w:val="BodyText"/>
    <w:rsid w:val="00121EB8"/>
    <w:pPr>
      <w:tabs>
        <w:tab w:val="left" w:pos="680"/>
      </w:tabs>
      <w:spacing w:before="60" w:after="60"/>
      <w:ind w:left="680" w:hanging="340"/>
    </w:pPr>
  </w:style>
  <w:style w:type="paragraph" w:styleId="List3">
    <w:name w:val="List 3"/>
    <w:basedOn w:val="BodyText"/>
    <w:rsid w:val="00121EB8"/>
    <w:pPr>
      <w:tabs>
        <w:tab w:val="left" w:pos="1021"/>
      </w:tabs>
      <w:spacing w:before="60" w:after="60"/>
      <w:ind w:left="1020" w:hanging="340"/>
    </w:pPr>
  </w:style>
  <w:style w:type="paragraph" w:styleId="List4">
    <w:name w:val="List 4"/>
    <w:basedOn w:val="BodyText"/>
    <w:rsid w:val="00121EB8"/>
    <w:pPr>
      <w:tabs>
        <w:tab w:val="left" w:pos="1361"/>
      </w:tabs>
      <w:spacing w:before="60" w:after="60"/>
      <w:ind w:left="1361" w:hanging="340"/>
    </w:pPr>
  </w:style>
  <w:style w:type="paragraph" w:styleId="List5">
    <w:name w:val="List 5"/>
    <w:basedOn w:val="BodyText"/>
    <w:rsid w:val="00121EB8"/>
    <w:pPr>
      <w:tabs>
        <w:tab w:val="left" w:pos="1701"/>
      </w:tabs>
      <w:spacing w:before="60" w:after="60"/>
      <w:ind w:left="1701" w:hanging="340"/>
    </w:pPr>
  </w:style>
  <w:style w:type="paragraph" w:styleId="ListBullet3">
    <w:name w:val="List Bullet 3"/>
    <w:basedOn w:val="List3"/>
    <w:rsid w:val="00121EB8"/>
    <w:pPr>
      <w:numPr>
        <w:numId w:val="14"/>
      </w:numPr>
      <w:tabs>
        <w:tab w:val="clear" w:pos="1021"/>
      </w:tabs>
      <w:ind w:left="1037" w:hanging="357"/>
    </w:pPr>
  </w:style>
  <w:style w:type="paragraph" w:styleId="ListBullet4">
    <w:name w:val="List Bullet 4"/>
    <w:basedOn w:val="List4"/>
    <w:rsid w:val="00121EB8"/>
    <w:pPr>
      <w:numPr>
        <w:numId w:val="2"/>
      </w:numPr>
      <w:tabs>
        <w:tab w:val="clear" w:pos="1361"/>
      </w:tabs>
    </w:pPr>
  </w:style>
  <w:style w:type="paragraph" w:styleId="ListBullet5">
    <w:name w:val="List Bullet 5"/>
    <w:basedOn w:val="List5"/>
    <w:rsid w:val="00121EB8"/>
    <w:pPr>
      <w:numPr>
        <w:numId w:val="3"/>
      </w:numPr>
    </w:pPr>
  </w:style>
  <w:style w:type="paragraph" w:styleId="ListContinue2">
    <w:name w:val="List Continue 2"/>
    <w:basedOn w:val="List2"/>
    <w:rsid w:val="00121EB8"/>
    <w:pPr>
      <w:ind w:firstLine="0"/>
    </w:pPr>
  </w:style>
  <w:style w:type="paragraph" w:styleId="ListContinue3">
    <w:name w:val="List Continue 3"/>
    <w:basedOn w:val="List3"/>
    <w:rsid w:val="00121EB8"/>
    <w:pPr>
      <w:ind w:left="1021" w:firstLine="0"/>
    </w:pPr>
  </w:style>
  <w:style w:type="paragraph" w:styleId="ListContinue4">
    <w:name w:val="List Continue 4"/>
    <w:basedOn w:val="List4"/>
    <w:rsid w:val="00121EB8"/>
    <w:pPr>
      <w:ind w:firstLine="0"/>
    </w:pPr>
  </w:style>
  <w:style w:type="paragraph" w:styleId="ListContinue5">
    <w:name w:val="List Continue 5"/>
    <w:basedOn w:val="List5"/>
    <w:rsid w:val="00121EB8"/>
    <w:pPr>
      <w:ind w:firstLine="0"/>
    </w:pPr>
  </w:style>
  <w:style w:type="paragraph" w:styleId="ListNumber3">
    <w:name w:val="List Number 3"/>
    <w:basedOn w:val="List3"/>
    <w:rsid w:val="00121EB8"/>
    <w:pPr>
      <w:numPr>
        <w:numId w:val="4"/>
      </w:numPr>
    </w:pPr>
  </w:style>
  <w:style w:type="paragraph" w:styleId="ListNumber4">
    <w:name w:val="List Number 4"/>
    <w:basedOn w:val="List4"/>
    <w:rsid w:val="00121EB8"/>
    <w:pPr>
      <w:numPr>
        <w:numId w:val="5"/>
      </w:numPr>
    </w:pPr>
  </w:style>
  <w:style w:type="paragraph" w:styleId="ListNumber5">
    <w:name w:val="List Number 5"/>
    <w:basedOn w:val="List5"/>
    <w:rsid w:val="00121EB8"/>
    <w:pPr>
      <w:numPr>
        <w:numId w:val="6"/>
      </w:numPr>
    </w:pPr>
  </w:style>
  <w:style w:type="paragraph" w:styleId="BlockText">
    <w:name w:val="Block Text"/>
    <w:basedOn w:val="Normal"/>
    <w:rsid w:val="00121EB8"/>
    <w:pPr>
      <w:spacing w:after="120"/>
      <w:ind w:left="1440" w:right="1440"/>
    </w:pPr>
  </w:style>
  <w:style w:type="character" w:customStyle="1" w:styleId="Subscript">
    <w:name w:val="Subscript"/>
    <w:basedOn w:val="DefaultParagraphFont"/>
    <w:rsid w:val="00121EB8"/>
    <w:rPr>
      <w:sz w:val="16"/>
      <w:vertAlign w:val="subscript"/>
    </w:rPr>
  </w:style>
  <w:style w:type="character" w:customStyle="1" w:styleId="Superscript">
    <w:name w:val="Superscript"/>
    <w:basedOn w:val="DefaultParagraphFont"/>
    <w:rsid w:val="00121EB8"/>
    <w:rPr>
      <w:sz w:val="16"/>
      <w:vertAlign w:val="superscript"/>
    </w:rPr>
  </w:style>
  <w:style w:type="character" w:customStyle="1" w:styleId="MenuOptions">
    <w:name w:val="Menu Options"/>
    <w:basedOn w:val="DefaultParagraphFont"/>
    <w:rsid w:val="00121EB8"/>
    <w:rPr>
      <w:rFonts w:ascii="Arial Narrow" w:hAnsi="Arial Narrow"/>
      <w:smallCaps/>
    </w:rPr>
  </w:style>
  <w:style w:type="character" w:customStyle="1" w:styleId="Buttons">
    <w:name w:val="Buttons"/>
    <w:basedOn w:val="DefaultParagraphFont"/>
    <w:rsid w:val="00121EB8"/>
    <w:rPr>
      <w:b/>
    </w:rPr>
  </w:style>
  <w:style w:type="character" w:customStyle="1" w:styleId="Underlined">
    <w:name w:val="Underlined"/>
    <w:basedOn w:val="DefaultParagraphFont"/>
    <w:rsid w:val="00121EB8"/>
    <w:rPr>
      <w:u w:val="single"/>
    </w:rPr>
  </w:style>
  <w:style w:type="paragraph" w:customStyle="1" w:styleId="TableBodyTextRight">
    <w:name w:val="Table Body Text Right"/>
    <w:basedOn w:val="TableBodyText"/>
    <w:rsid w:val="00121EB8"/>
    <w:pPr>
      <w:widowControl w:val="0"/>
      <w:autoSpaceDE w:val="0"/>
      <w:autoSpaceDN w:val="0"/>
      <w:adjustRightInd w:val="0"/>
      <w:jc w:val="right"/>
    </w:pPr>
    <w:rPr>
      <w:rFonts w:cs="Arial"/>
      <w:szCs w:val="18"/>
    </w:rPr>
  </w:style>
  <w:style w:type="paragraph" w:customStyle="1" w:styleId="CopyrightText">
    <w:name w:val="Copyright Text"/>
    <w:basedOn w:val="BodyText"/>
    <w:rsid w:val="00121EB8"/>
    <w:rPr>
      <w:sz w:val="18"/>
    </w:rPr>
  </w:style>
  <w:style w:type="paragraph" w:customStyle="1" w:styleId="BodySmallRight">
    <w:name w:val="Body Small Right"/>
    <w:basedOn w:val="BodyTextRight"/>
    <w:rsid w:val="00121EB8"/>
    <w:rPr>
      <w:sz w:val="18"/>
      <w:szCs w:val="18"/>
    </w:rPr>
  </w:style>
  <w:style w:type="paragraph" w:customStyle="1" w:styleId="MarginEdition">
    <w:name w:val="Margin Edition"/>
    <w:basedOn w:val="MarginNote"/>
    <w:rsid w:val="00121EB8"/>
    <w:pPr>
      <w:spacing w:before="0" w:after="0"/>
    </w:pPr>
    <w:rPr>
      <w:rFonts w:ascii="Times New Roman" w:hAnsi="Times New Roman"/>
      <w:color w:val="999999"/>
    </w:rPr>
  </w:style>
  <w:style w:type="paragraph" w:customStyle="1" w:styleId="Spacer">
    <w:name w:val="Spacer"/>
    <w:basedOn w:val="Normal"/>
    <w:rsid w:val="00121EB8"/>
    <w:rPr>
      <w:sz w:val="2"/>
      <w:szCs w:val="2"/>
    </w:rPr>
  </w:style>
  <w:style w:type="character" w:customStyle="1" w:styleId="Small">
    <w:name w:val="Small"/>
    <w:basedOn w:val="DefaultParagraphFont"/>
    <w:rsid w:val="00121EB8"/>
    <w:rPr>
      <w:sz w:val="16"/>
    </w:rPr>
  </w:style>
  <w:style w:type="paragraph" w:customStyle="1" w:styleId="WideTable">
    <w:name w:val="Wide Table"/>
    <w:basedOn w:val="Normal"/>
    <w:rsid w:val="00121EB8"/>
    <w:pPr>
      <w:ind w:left="-1418"/>
    </w:pPr>
    <w:rPr>
      <w:sz w:val="2"/>
      <w:szCs w:val="2"/>
    </w:rPr>
  </w:style>
  <w:style w:type="character" w:styleId="PageNumber">
    <w:name w:val="page number"/>
    <w:basedOn w:val="DefaultParagraphFont"/>
    <w:rsid w:val="00121EB8"/>
  </w:style>
  <w:style w:type="paragraph" w:styleId="Quote">
    <w:name w:val="Quote"/>
    <w:basedOn w:val="Heading1"/>
    <w:link w:val="QuoteChar"/>
    <w:qFormat/>
    <w:rsid w:val="00121EB8"/>
    <w:rPr>
      <w:b w:val="0"/>
      <w:sz w:val="72"/>
      <w:szCs w:val="72"/>
      <w:lang w:val="en-NZ"/>
    </w:rPr>
  </w:style>
  <w:style w:type="character" w:customStyle="1" w:styleId="QuoteChar">
    <w:name w:val="Quote Char"/>
    <w:basedOn w:val="DefaultParagraphFont"/>
    <w:link w:val="Quote"/>
    <w:rsid w:val="00121E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EB8"/>
    <w:pPr>
      <w:pageBreakBefore/>
    </w:pPr>
  </w:style>
  <w:style w:type="paragraph" w:customStyle="1" w:styleId="Border">
    <w:name w:val="Border"/>
    <w:basedOn w:val="Normal"/>
    <w:qFormat/>
    <w:rsid w:val="00121E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EB8"/>
    <w:rPr>
      <w:b/>
      <w:bCs/>
      <w:i/>
      <w:iCs/>
      <w:color w:val="auto"/>
    </w:rPr>
  </w:style>
  <w:style w:type="paragraph" w:styleId="IntenseQuote">
    <w:name w:val="Intense Quote"/>
    <w:basedOn w:val="Normal"/>
    <w:next w:val="Normal"/>
    <w:link w:val="IntenseQuoteChar"/>
    <w:uiPriority w:val="30"/>
    <w:qFormat/>
    <w:rsid w:val="00121E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E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EB8"/>
    <w:rPr>
      <w:smallCaps/>
      <w:color w:val="auto"/>
      <w:u w:val="single"/>
    </w:rPr>
  </w:style>
  <w:style w:type="character" w:styleId="IntenseReference">
    <w:name w:val="Intense Reference"/>
    <w:basedOn w:val="DefaultParagraphFont"/>
    <w:uiPriority w:val="32"/>
    <w:qFormat/>
    <w:rsid w:val="00121EB8"/>
    <w:rPr>
      <w:b/>
      <w:bCs/>
      <w:smallCaps/>
      <w:color w:val="auto"/>
      <w:spacing w:val="5"/>
      <w:u w:val="single"/>
    </w:rPr>
  </w:style>
  <w:style w:type="paragraph" w:customStyle="1" w:styleId="2ColumnHeading">
    <w:name w:val="2Column Heading"/>
    <w:basedOn w:val="BodyText"/>
    <w:qFormat/>
    <w:rsid w:val="00121EB8"/>
    <w:pPr>
      <w:spacing w:after="60"/>
      <w:ind w:left="-2268"/>
    </w:pPr>
    <w:rPr>
      <w:b/>
    </w:rPr>
  </w:style>
  <w:style w:type="paragraph" w:customStyle="1" w:styleId="Heading1TOC">
    <w:name w:val="Heading1 TOC"/>
    <w:basedOn w:val="Normal"/>
    <w:qFormat/>
    <w:rsid w:val="00121EB8"/>
    <w:pPr>
      <w:spacing w:before="240" w:after="120"/>
    </w:pPr>
    <w:rPr>
      <w:rFonts w:ascii="Times New Roman" w:hAnsi="Times New Roman"/>
      <w:b/>
      <w:sz w:val="32"/>
    </w:rPr>
  </w:style>
  <w:style w:type="paragraph" w:customStyle="1" w:styleId="Heading2TOC">
    <w:name w:val="Heading2 TOC"/>
    <w:basedOn w:val="Normal"/>
    <w:qFormat/>
    <w:rsid w:val="00121EB8"/>
    <w:pPr>
      <w:spacing w:before="240" w:after="60"/>
    </w:pPr>
    <w:rPr>
      <w:rFonts w:ascii="Times New Roman" w:hAnsi="Times New Roman"/>
      <w:b/>
      <w:sz w:val="28"/>
    </w:rPr>
  </w:style>
  <w:style w:type="character" w:customStyle="1" w:styleId="Underline">
    <w:name w:val="Underline"/>
    <w:basedOn w:val="DefaultParagraphFont"/>
    <w:qFormat/>
    <w:rsid w:val="00121EB8"/>
    <w:rPr>
      <w:u w:val="single"/>
    </w:rPr>
  </w:style>
  <w:style w:type="character" w:customStyle="1" w:styleId="BoldandItalics">
    <w:name w:val="Bold and Italics"/>
    <w:qFormat/>
    <w:rsid w:val="00121EB8"/>
    <w:rPr>
      <w:b/>
      <w:i/>
      <w:u w:val="none"/>
    </w:rPr>
  </w:style>
  <w:style w:type="paragraph" w:styleId="BalloonText">
    <w:name w:val="Balloon Text"/>
    <w:basedOn w:val="Normal"/>
    <w:link w:val="BalloonTextChar"/>
    <w:rsid w:val="00121EB8"/>
    <w:rPr>
      <w:rFonts w:ascii="Tahoma" w:hAnsi="Tahoma" w:cs="Tahoma"/>
      <w:sz w:val="16"/>
      <w:szCs w:val="16"/>
    </w:rPr>
  </w:style>
  <w:style w:type="character" w:customStyle="1" w:styleId="BalloonTextChar">
    <w:name w:val="Balloon Text Char"/>
    <w:basedOn w:val="DefaultParagraphFont"/>
    <w:link w:val="BalloonText"/>
    <w:rsid w:val="00121E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E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1E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EB8"/>
    <w:rPr>
      <w:b/>
      <w:color w:val="660033"/>
      <w:spacing w:val="0"/>
    </w:rPr>
  </w:style>
  <w:style w:type="paragraph" w:customStyle="1" w:styleId="Nameditemlist">
    <w:name w:val="Named item list"/>
    <w:basedOn w:val="BodyText"/>
    <w:qFormat/>
    <w:rsid w:val="00121E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961</Words>
  <Characters>6618</Characters>
  <Application>Microsoft Office Word</Application>
  <DocSecurity>0</DocSecurity>
  <Lines>294</Lines>
  <Paragraphs>135</Paragraphs>
  <ScaleCrop>false</ScaleCrop>
  <Company>Author-it Software Corporation Ltd.</Company>
  <LinksUpToDate>false</LinksUpToDate>
  <CharactersWithSpaces>7483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MSL977001 Contribute to the development of products and applications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2016-03-01T06:27:00Z</dcterms:created>
  <dcterms:modified xsi:type="dcterms:W3CDTF">2016-03-01T06:27:00Z</dcterms:modified>
</cp:coreProperties>
</file>