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4D8" w:rsidP="005204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MSL976006 Evaluate and select appropriate test methods and/or procedures</w:t>
      </w:r>
      <w:r>
        <w:fldChar w:fldCharType="end"/>
      </w:r>
    </w:p>
    <w:p w:rsidR="005204D8" w:rsidP="005204D8">
      <w:pPr>
        <w:pStyle w:val="Version"/>
        <w:sectPr w:rsidSect="00136A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6A97" w:rsidP="00136A97">
      <w:pPr>
        <w:pStyle w:val="SuperHeading"/>
      </w:pPr>
      <w:r w:rsidRPr="00136A97">
        <w:t>Assessment Requirements for MSL976006 Evaluate and select appropriate test methods and/or procedures</w:t>
      </w:r>
    </w:p>
    <w:p w:rsidR="00000000" w:rsidRPr="00136A97" w:rsidP="00136A97">
      <w:pPr>
        <w:pStyle w:val="Heading1"/>
      </w:pPr>
      <w:bookmarkStart w:id="1" w:name="O_1258629"/>
      <w:bookmarkEnd w:id="1"/>
      <w:r w:rsidRPr="00136A97">
        <w:t>Modification History</w:t>
      </w:r>
    </w:p>
    <w:p w:rsidR="00000000" w:rsidRPr="00136A97" w:rsidP="005204D8">
      <w:pPr>
        <w:pStyle w:val="BodyText"/>
      </w:pPr>
      <w:r w:rsidRPr="00136A97">
        <w:t>Release 1. Supersedes and equivalent to MSL9</w:t>
      </w:r>
      <w:r w:rsidRPr="00136A97">
        <w:t>76005 Evaluate and select appropriate test methods and/or procedures. Minor changes to Performance Criteria. Some mathematical content moved from Foundation Skills to Knowledge Evidence. Some items removed from Knowledge Evidence requirements around common</w:t>
      </w:r>
      <w:r w:rsidRPr="00136A97">
        <w:t xml:space="preserve"> types of tests and procedures to allow for broader application.</w:t>
      </w:r>
    </w:p>
    <w:p w:rsidR="00000000" w:rsidRPr="00136A97" w:rsidP="00136A97">
      <w:pPr>
        <w:pStyle w:val="Heading1"/>
      </w:pPr>
      <w:bookmarkStart w:id="2" w:name="O_1258630"/>
      <w:bookmarkEnd w:id="2"/>
      <w:r w:rsidRPr="00136A97">
        <w:t>Performance Evidence</w:t>
      </w:r>
    </w:p>
    <w:p w:rsidR="00000000" w:rsidRPr="00136A97" w:rsidP="005204D8">
      <w:pPr>
        <w:pStyle w:val="BodyText"/>
      </w:pPr>
      <w:r w:rsidRPr="00136A97">
        <w:t>There must be evidence the candidate has completed the tasks outlined in the elements and performance criteria of this unit, and:</w:t>
      </w:r>
    </w:p>
    <w:p w:rsidR="00000000" w:rsidRPr="00136A97" w:rsidP="00136A97">
      <w:pPr>
        <w:pStyle w:val="ListBullet"/>
      </w:pPr>
      <w:r w:rsidRPr="00136A97">
        <w:t>evaluated and select</w:t>
      </w:r>
      <w:r w:rsidRPr="00136A97">
        <w:t>ed test methods and/or procedures for at least 2 different items or laboratory processes.</w:t>
      </w:r>
    </w:p>
    <w:p w:rsidR="00000000" w:rsidRPr="00136A97" w:rsidP="00136A97">
      <w:pPr>
        <w:pStyle w:val="AllowPageBreak"/>
      </w:pPr>
    </w:p>
    <w:p w:rsidR="00000000" w:rsidRPr="00136A97" w:rsidP="00136A97">
      <w:pPr>
        <w:pStyle w:val="Heading1"/>
      </w:pPr>
      <w:bookmarkStart w:id="3" w:name="O_1258631"/>
      <w:bookmarkEnd w:id="3"/>
      <w:r w:rsidRPr="00136A97">
        <w:t>Knowledge Evidence</w:t>
      </w:r>
    </w:p>
    <w:p w:rsidR="00000000" w:rsidRPr="00136A97" w:rsidP="005204D8">
      <w:pPr>
        <w:pStyle w:val="BodyText"/>
      </w:pPr>
      <w:r w:rsidRPr="00136A97">
        <w:t>There must be evidence the candidate has knowledge of:</w:t>
      </w:r>
    </w:p>
    <w:p w:rsidR="00000000" w:rsidRPr="00136A97" w:rsidP="00136A97">
      <w:pPr>
        <w:pStyle w:val="ListBullet"/>
      </w:pPr>
      <w:r w:rsidRPr="00136A97">
        <w:t>principles, concepts and workplace and regulatory requirements related t</w:t>
      </w:r>
      <w:r w:rsidRPr="00136A97">
        <w:t>o method selection</w:t>
      </w:r>
    </w:p>
    <w:p w:rsidR="00000000" w:rsidRPr="00136A97" w:rsidP="00136A97">
      <w:pPr>
        <w:pStyle w:val="ListBullet"/>
      </w:pPr>
      <w:r w:rsidRPr="00136A97">
        <w:t>regulatory and licensing requirements related to selected test methods</w:t>
      </w:r>
    </w:p>
    <w:p w:rsidR="00000000" w:rsidRPr="00136A97" w:rsidP="00136A97">
      <w:pPr>
        <w:pStyle w:val="ListBullet"/>
      </w:pPr>
      <w:r w:rsidRPr="00136A97">
        <w:t>scientific and technical principles underpinning test method and their application to selection of testing methods for different materials</w:t>
      </w:r>
    </w:p>
    <w:p w:rsidR="00000000" w:rsidRPr="00136A97" w:rsidP="00136A97">
      <w:pPr>
        <w:pStyle w:val="ListBullet"/>
      </w:pPr>
      <w:r w:rsidRPr="00136A97">
        <w:t xml:space="preserve">the role and importance of </w:t>
      </w:r>
      <w:r w:rsidRPr="00136A97">
        <w:t>accuracy, precision, uncertainty, linearity, selectivity, range, limit of detection and matrix characteristics in method selection</w:t>
      </w:r>
    </w:p>
    <w:p w:rsidR="00000000" w:rsidRPr="00136A97" w:rsidP="00136A97">
      <w:pPr>
        <w:pStyle w:val="ListBullet"/>
      </w:pPr>
      <w:r w:rsidRPr="00136A97">
        <w:t>calculation steps for data analysis and estimation of uncertainties for selected test methods</w:t>
      </w:r>
    </w:p>
    <w:p w:rsidR="00000000" w:rsidRPr="00136A97" w:rsidP="00136A97">
      <w:pPr>
        <w:pStyle w:val="ListBullet"/>
      </w:pPr>
      <w:r w:rsidRPr="00136A97">
        <w:t>significance of normal, physiol</w:t>
      </w:r>
      <w:r w:rsidRPr="00136A97">
        <w:t>ogical or reference ranges</w:t>
      </w:r>
    </w:p>
    <w:p w:rsidR="00000000" w:rsidRPr="00136A97" w:rsidP="00136A97">
      <w:pPr>
        <w:pStyle w:val="ListBullet"/>
      </w:pPr>
      <w:r w:rsidRPr="00136A97">
        <w:t xml:space="preserve">common types of tests and procedures relevant to the job role </w:t>
      </w:r>
    </w:p>
    <w:p w:rsidR="00000000" w:rsidRPr="00136A97" w:rsidP="00136A97">
      <w:pPr>
        <w:pStyle w:val="ListBullet"/>
      </w:pPr>
      <w:r w:rsidRPr="00136A97">
        <w:t>drivers for the evaluation and selection of test methods and procedures</w:t>
      </w:r>
    </w:p>
    <w:p w:rsidR="00000000" w:rsidRPr="00136A97" w:rsidP="00136A97">
      <w:pPr>
        <w:pStyle w:val="ListBullet"/>
      </w:pPr>
      <w:r w:rsidRPr="00136A97">
        <w:t>factors that typically influence method evaluation and selection, including:</w:t>
      </w:r>
    </w:p>
    <w:p w:rsidR="00000000" w:rsidRPr="00136A97" w:rsidP="00136A97">
      <w:pPr>
        <w:pStyle w:val="ListBullet2"/>
      </w:pPr>
      <w:r w:rsidRPr="00136A97">
        <w:t>quantity and nat</w:t>
      </w:r>
      <w:r w:rsidRPr="00136A97">
        <w:t xml:space="preserve">ure of sample available for testing </w:t>
      </w:r>
    </w:p>
    <w:p w:rsidR="00000000" w:rsidRPr="00136A97" w:rsidP="00136A97">
      <w:pPr>
        <w:pStyle w:val="ListBullet2"/>
      </w:pPr>
      <w:r w:rsidRPr="00136A97">
        <w:t>levels of detection required</w:t>
      </w:r>
    </w:p>
    <w:p w:rsidR="00000000" w:rsidRPr="00136A97" w:rsidP="00136A97">
      <w:pPr>
        <w:pStyle w:val="ListBullet2"/>
      </w:pPr>
      <w:r w:rsidRPr="00136A97">
        <w:t>type of matrix, possible contaminants and resulting interference</w:t>
      </w:r>
    </w:p>
    <w:p w:rsidR="00000000" w:rsidRPr="00136A97" w:rsidP="00136A97">
      <w:pPr>
        <w:pStyle w:val="ListBullet2"/>
      </w:pPr>
      <w:r w:rsidRPr="00136A97">
        <w:t>safety</w:t>
      </w:r>
    </w:p>
    <w:p w:rsidR="00000000" w:rsidRPr="00136A97" w:rsidP="00136A97">
      <w:pPr>
        <w:pStyle w:val="ListBullet2"/>
      </w:pPr>
      <w:r w:rsidRPr="00136A97">
        <w:t>availability of suitable equipment, instruments and availability of trained staff</w:t>
      </w:r>
    </w:p>
    <w:p w:rsidR="00000000" w:rsidRPr="00136A97" w:rsidP="00136A97">
      <w:pPr>
        <w:pStyle w:val="ListBullet2"/>
      </w:pPr>
      <w:r w:rsidRPr="00136A97">
        <w:t>cost</w:t>
      </w:r>
    </w:p>
    <w:p w:rsidR="00000000" w:rsidRPr="00136A97" w:rsidP="00136A97">
      <w:pPr>
        <w:pStyle w:val="ListBullet2"/>
      </w:pPr>
      <w:r w:rsidRPr="00136A97">
        <w:t>selectivity of method, range, accuracy, precision and acceptable uncertainty</w:t>
      </w:r>
    </w:p>
    <w:p w:rsidR="00000000" w:rsidRPr="00136A97" w:rsidP="00136A97">
      <w:pPr>
        <w:pStyle w:val="ListBullet2"/>
      </w:pPr>
      <w:r w:rsidRPr="00136A97">
        <w:t>whether it is appropriate/ethical to perform the test</w:t>
      </w:r>
    </w:p>
    <w:p w:rsidR="00000000" w:rsidRPr="00136A97" w:rsidP="00136A97">
      <w:pPr>
        <w:pStyle w:val="ListBullet2"/>
      </w:pPr>
      <w:r w:rsidRPr="00136A97">
        <w:t>balancing customer, workplace and/or regulatory/licensing requirements</w:t>
      </w:r>
    </w:p>
    <w:p w:rsidR="00000000" w:rsidRPr="00136A97" w:rsidP="00136A97">
      <w:pPr>
        <w:pStyle w:val="ListBullet"/>
      </w:pPr>
      <w:r w:rsidRPr="00136A97">
        <w:t>workplace and/or legal traceability requirements</w:t>
      </w:r>
    </w:p>
    <w:p w:rsidR="00000000" w:rsidRPr="00136A97" w:rsidP="00136A97">
      <w:pPr>
        <w:pStyle w:val="ListBullet"/>
      </w:pPr>
      <w:r w:rsidRPr="00136A97">
        <w:t>awar</w:t>
      </w:r>
      <w:r w:rsidRPr="00136A97">
        <w:t>eness of environmental sustainability issues as they relate to the work task.</w:t>
      </w:r>
    </w:p>
    <w:p w:rsidR="00000000" w:rsidRPr="00136A97" w:rsidP="00136A97">
      <w:pPr>
        <w:pStyle w:val="AllowPageBreak"/>
      </w:pPr>
    </w:p>
    <w:p w:rsidR="00000000" w:rsidRPr="00136A97" w:rsidP="00136A97">
      <w:pPr>
        <w:pStyle w:val="Heading1"/>
      </w:pPr>
      <w:bookmarkStart w:id="4" w:name="O_1258632"/>
      <w:bookmarkEnd w:id="4"/>
      <w:r w:rsidRPr="00136A97">
        <w:t>Assessment Conditions</w:t>
      </w:r>
    </w:p>
    <w:p w:rsidR="00000000" w:rsidRPr="00136A97" w:rsidP="005204D8">
      <w:pPr>
        <w:pStyle w:val="BodyText"/>
      </w:pPr>
      <w:r w:rsidRPr="00136A97">
        <w:t>Skills must have been demonstrated in the workplace or in a simulated environment that reflects workplace conditions and contingencies. T</w:t>
      </w:r>
      <w:r w:rsidRPr="00136A97">
        <w:t xml:space="preserve">he following conditions must be met for this unit: </w:t>
      </w:r>
    </w:p>
    <w:p w:rsidR="00000000" w:rsidRPr="00136A97" w:rsidP="00136A97">
      <w:pPr>
        <w:pStyle w:val="ListBullet"/>
      </w:pPr>
      <w:r w:rsidRPr="00136A97">
        <w:t xml:space="preserve">use of suitable facilities, equipment and resources, including: </w:t>
      </w:r>
    </w:p>
    <w:p w:rsidR="00000000" w:rsidRPr="00136A97" w:rsidP="00136A97">
      <w:pPr>
        <w:pStyle w:val="ListBullet2"/>
      </w:pPr>
      <w:r w:rsidRPr="00136A97">
        <w:t>a standard laboratory equipped with appropriate equipment, analytical instruments and reagents</w:t>
      </w:r>
    </w:p>
    <w:p w:rsidR="00000000" w:rsidRPr="00136A97" w:rsidP="00136A97">
      <w:pPr>
        <w:pStyle w:val="ListBullet2"/>
      </w:pPr>
      <w:r w:rsidRPr="00136A97">
        <w:t>Australian and international regulatory standards relevant to scope of laboratory operations</w:t>
      </w:r>
    </w:p>
    <w:p w:rsidR="00000000" w:rsidRPr="00136A97" w:rsidP="00136A97">
      <w:pPr>
        <w:pStyle w:val="ListBullet2"/>
      </w:pPr>
      <w:r w:rsidRPr="00136A97">
        <w:t>workplace procedures, including test methods.</w:t>
      </w:r>
    </w:p>
    <w:p w:rsidR="00000000" w:rsidRPr="00136A97" w:rsidP="005204D8">
      <w:pPr>
        <w:pStyle w:val="BodyText"/>
      </w:pPr>
      <w:r w:rsidRPr="00136A97">
        <w:t>Assessors must satisfy the NVR/AQTF mandatory competency requirements for assessors.</w:t>
      </w:r>
    </w:p>
    <w:p w:rsidR="00000000" w:rsidRPr="00136A97" w:rsidP="00136A97">
      <w:pPr>
        <w:pStyle w:val="Heading1"/>
      </w:pPr>
      <w:bookmarkStart w:id="5" w:name="O_1258635"/>
      <w:bookmarkEnd w:id="5"/>
      <w:r w:rsidRPr="00136A97">
        <w:t>Links</w:t>
      </w:r>
    </w:p>
    <w:p w:rsidR="00000000" w:rsidRPr="00136A97" w:rsidP="005204D8">
      <w:pPr>
        <w:pStyle w:val="BodyText"/>
      </w:pPr>
      <w:r w:rsidRPr="00136A97">
        <w:t>MSL Lab</w:t>
      </w:r>
      <w:r w:rsidRPr="00136A97">
        <w:t xml:space="preserve">oratory Operations Companion Volume Implementation Guide is available from VETNet –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621C5C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136A97" w:rsidP="00136A97"/>
    <w:sectPr w:rsidSect="00136A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97" w:rsidRPr="005204D8" w:rsidP="005204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D8" w:rsidP="00136A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4D8" w:rsidP="00136A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04D8" w:rsidP="00136A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6A97" w:rsidRPr="005204D8" w:rsidP="005204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6A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4D8" w:rsidRPr="002D2AF8" w:rsidP="00136A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MSL976006 Evaluate and select appropriate test methods and/or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204D8" w:rsidP="00136A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F637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1AD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4E8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6A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6A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6A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6A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6A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6A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6A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6A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6A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6A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6A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6A97"/>
  </w:style>
  <w:style w:type="character" w:customStyle="1" w:styleId="Heading1Char">
    <w:name w:val="Heading 1 Char"/>
    <w:basedOn w:val="DefaultParagraphFont"/>
    <w:link w:val="Heading1"/>
    <w:rsid w:val="00136A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6A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6A9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6A9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6A9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36A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6A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36A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6A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6A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6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6A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6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6A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6A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6A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6A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6A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6A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6A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6A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6A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6A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6A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6A9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6A9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6A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6A97"/>
    <w:rPr>
      <w:b/>
      <w:spacing w:val="0"/>
    </w:rPr>
  </w:style>
  <w:style w:type="paragraph" w:customStyle="1" w:styleId="SuperTitle">
    <w:name w:val="SuperTitle"/>
    <w:basedOn w:val="Title"/>
    <w:rsid w:val="00136A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6A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6A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6A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6A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6A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6A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6A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6A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6A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6A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6A9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36A97"/>
    <w:rPr>
      <w:i/>
    </w:rPr>
  </w:style>
  <w:style w:type="paragraph" w:styleId="Caption">
    <w:name w:val="caption"/>
    <w:basedOn w:val="BodyText"/>
    <w:next w:val="Normal"/>
    <w:qFormat/>
    <w:rsid w:val="00136A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6A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6A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6A97"/>
  </w:style>
  <w:style w:type="paragraph" w:styleId="TableofFigures">
    <w:name w:val="table of figures"/>
    <w:basedOn w:val="Normal"/>
    <w:next w:val="Normal"/>
    <w:semiHidden/>
    <w:rsid w:val="00136A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6A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6A97"/>
    <w:rPr>
      <w:rFonts w:ascii="Wingdings" w:hAnsi="Wingdings"/>
    </w:rPr>
  </w:style>
  <w:style w:type="paragraph" w:customStyle="1" w:styleId="TableHeading">
    <w:name w:val="Table Heading"/>
    <w:basedOn w:val="HeadingBase"/>
    <w:rsid w:val="00136A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6A97"/>
    <w:rPr>
      <w:color w:val="0033CC"/>
      <w:u w:val="none"/>
    </w:rPr>
  </w:style>
  <w:style w:type="paragraph" w:customStyle="1" w:styleId="BodyTextRight">
    <w:name w:val="Body Text Right"/>
    <w:basedOn w:val="BodyText"/>
    <w:rsid w:val="00136A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6A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6A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6A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6A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6A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6A97"/>
    <w:rPr>
      <w:sz w:val="32"/>
    </w:rPr>
  </w:style>
  <w:style w:type="paragraph" w:customStyle="1" w:styleId="HeadingProcedure">
    <w:name w:val="Heading Procedure"/>
    <w:basedOn w:val="HeadingBase"/>
    <w:next w:val="Normal"/>
    <w:rsid w:val="00136A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6A97"/>
    <w:pPr>
      <w:spacing w:before="60" w:after="60"/>
    </w:pPr>
  </w:style>
  <w:style w:type="paragraph" w:styleId="ListContinue">
    <w:name w:val="List Continue"/>
    <w:basedOn w:val="List"/>
    <w:rsid w:val="00136A97"/>
    <w:pPr>
      <w:ind w:firstLine="0"/>
    </w:pPr>
  </w:style>
  <w:style w:type="paragraph" w:customStyle="1" w:styleId="ListNote">
    <w:name w:val="List Note"/>
    <w:basedOn w:val="List"/>
    <w:rsid w:val="00136A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6A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6A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6A97"/>
    <w:rPr>
      <w:rFonts w:ascii="Courier New" w:hAnsi="Courier New"/>
    </w:rPr>
  </w:style>
  <w:style w:type="paragraph" w:customStyle="1" w:styleId="NoteBullet">
    <w:name w:val="Note Bullet"/>
    <w:basedOn w:val="Note"/>
    <w:rsid w:val="00136A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6A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6A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6A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6A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6A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6A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6A97"/>
    <w:rPr>
      <w:b/>
      <w:smallCaps/>
    </w:rPr>
  </w:style>
  <w:style w:type="paragraph" w:customStyle="1" w:styleId="TableListNumber">
    <w:name w:val="Table List Number"/>
    <w:basedOn w:val="ListNumber"/>
    <w:rsid w:val="00136A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6A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6A97"/>
    <w:pPr>
      <w:numPr>
        <w:numId w:val="9"/>
      </w:numPr>
    </w:pPr>
  </w:style>
  <w:style w:type="paragraph" w:customStyle="1" w:styleId="ListAlpha2">
    <w:name w:val="List Alpha 2"/>
    <w:basedOn w:val="List2"/>
    <w:rsid w:val="00136A97"/>
    <w:pPr>
      <w:numPr>
        <w:numId w:val="8"/>
      </w:numPr>
    </w:pPr>
  </w:style>
  <w:style w:type="paragraph" w:styleId="List2">
    <w:name w:val="List 2"/>
    <w:basedOn w:val="BodyText"/>
    <w:rsid w:val="00136A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6A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6A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6A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6A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6A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6A97"/>
    <w:pPr>
      <w:numPr>
        <w:numId w:val="4"/>
      </w:numPr>
    </w:pPr>
  </w:style>
  <w:style w:type="paragraph" w:styleId="ListContinue2">
    <w:name w:val="List Continue 2"/>
    <w:basedOn w:val="List2"/>
    <w:rsid w:val="00136A97"/>
    <w:pPr>
      <w:ind w:firstLine="0"/>
    </w:pPr>
  </w:style>
  <w:style w:type="paragraph" w:styleId="ListContinue3">
    <w:name w:val="List Continue 3"/>
    <w:basedOn w:val="List3"/>
    <w:rsid w:val="00136A97"/>
    <w:pPr>
      <w:ind w:left="1021" w:firstLine="0"/>
    </w:pPr>
  </w:style>
  <w:style w:type="paragraph" w:styleId="ListContinue4">
    <w:name w:val="List Continue 4"/>
    <w:basedOn w:val="List4"/>
    <w:rsid w:val="00136A97"/>
    <w:pPr>
      <w:ind w:firstLine="0"/>
    </w:pPr>
  </w:style>
  <w:style w:type="paragraph" w:styleId="ListContinue5">
    <w:name w:val="List Continue 5"/>
    <w:basedOn w:val="List5"/>
    <w:rsid w:val="00136A97"/>
    <w:pPr>
      <w:ind w:firstLine="0"/>
    </w:pPr>
  </w:style>
  <w:style w:type="paragraph" w:styleId="ListNumber3">
    <w:name w:val="List Number 3"/>
    <w:basedOn w:val="List3"/>
    <w:rsid w:val="00136A97"/>
    <w:pPr>
      <w:numPr>
        <w:numId w:val="5"/>
      </w:numPr>
    </w:pPr>
  </w:style>
  <w:style w:type="paragraph" w:styleId="ListNumber4">
    <w:name w:val="List Number 4"/>
    <w:basedOn w:val="List4"/>
    <w:rsid w:val="00136A97"/>
    <w:pPr>
      <w:numPr>
        <w:numId w:val="6"/>
      </w:numPr>
    </w:pPr>
  </w:style>
  <w:style w:type="paragraph" w:styleId="ListNumber5">
    <w:name w:val="List Number 5"/>
    <w:basedOn w:val="List5"/>
    <w:rsid w:val="00136A97"/>
    <w:pPr>
      <w:numPr>
        <w:numId w:val="7"/>
      </w:numPr>
    </w:pPr>
  </w:style>
  <w:style w:type="paragraph" w:styleId="BlockText">
    <w:name w:val="Block Text"/>
    <w:basedOn w:val="Normal"/>
    <w:rsid w:val="00136A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6A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6A97"/>
    <w:rPr>
      <w:sz w:val="16"/>
      <w:vertAlign w:val="superscript"/>
    </w:rPr>
  </w:style>
  <w:style w:type="character" w:customStyle="1" w:styleId="Symbols">
    <w:name w:val="Symbols"/>
    <w:basedOn w:val="DefaultParagraphFont"/>
    <w:rsid w:val="00136A97"/>
    <w:rPr>
      <w:rFonts w:ascii="Symbol" w:hAnsi="Symbol"/>
    </w:rPr>
  </w:style>
  <w:style w:type="character" w:customStyle="1" w:styleId="MenuOptions">
    <w:name w:val="Menu Options"/>
    <w:basedOn w:val="DefaultParagraphFont"/>
    <w:rsid w:val="00136A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6A97"/>
    <w:rPr>
      <w:b/>
    </w:rPr>
  </w:style>
  <w:style w:type="character" w:customStyle="1" w:styleId="Underlined">
    <w:name w:val="Underlined"/>
    <w:basedOn w:val="DefaultParagraphFont"/>
    <w:rsid w:val="00136A97"/>
    <w:rPr>
      <w:u w:val="single"/>
    </w:rPr>
  </w:style>
  <w:style w:type="paragraph" w:customStyle="1" w:styleId="TableBodyTextRight">
    <w:name w:val="Table Body Text Right"/>
    <w:basedOn w:val="TableBodyText"/>
    <w:rsid w:val="00136A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6A97"/>
    <w:rPr>
      <w:sz w:val="18"/>
    </w:rPr>
  </w:style>
  <w:style w:type="paragraph" w:customStyle="1" w:styleId="BodySmallRight">
    <w:name w:val="Body Small Right"/>
    <w:basedOn w:val="BodyTextRight"/>
    <w:rsid w:val="00136A97"/>
    <w:rPr>
      <w:sz w:val="18"/>
      <w:szCs w:val="18"/>
    </w:rPr>
  </w:style>
  <w:style w:type="paragraph" w:customStyle="1" w:styleId="MarginEdition">
    <w:name w:val="Margin Edition"/>
    <w:basedOn w:val="MarginNote"/>
    <w:rsid w:val="00136A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6A97"/>
    <w:rPr>
      <w:sz w:val="2"/>
      <w:szCs w:val="2"/>
    </w:rPr>
  </w:style>
  <w:style w:type="character" w:customStyle="1" w:styleId="Small">
    <w:name w:val="Small"/>
    <w:basedOn w:val="DefaultParagraphFont"/>
    <w:rsid w:val="00136A97"/>
    <w:rPr>
      <w:sz w:val="16"/>
    </w:rPr>
  </w:style>
  <w:style w:type="paragraph" w:customStyle="1" w:styleId="WideTable">
    <w:name w:val="Wide Table"/>
    <w:basedOn w:val="Normal"/>
    <w:rsid w:val="00136A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6A97"/>
  </w:style>
  <w:style w:type="paragraph" w:styleId="Quote">
    <w:name w:val="Quote"/>
    <w:basedOn w:val="Heading1"/>
    <w:link w:val="QuoteChar"/>
    <w:qFormat/>
    <w:rsid w:val="00136A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6A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6A97"/>
    <w:pPr>
      <w:pageBreakBefore/>
    </w:pPr>
  </w:style>
  <w:style w:type="paragraph" w:customStyle="1" w:styleId="Border">
    <w:name w:val="Border"/>
    <w:basedOn w:val="Normal"/>
    <w:qFormat/>
    <w:rsid w:val="00136A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6A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6A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6A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6A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6A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6A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6A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6A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6A97"/>
    <w:rPr>
      <w:u w:val="single"/>
    </w:rPr>
  </w:style>
  <w:style w:type="character" w:customStyle="1" w:styleId="BoldandItalics">
    <w:name w:val="Bold and Italics"/>
    <w:qFormat/>
    <w:rsid w:val="00136A97"/>
    <w:rPr>
      <w:b/>
      <w:i/>
      <w:u w:val="none"/>
    </w:rPr>
  </w:style>
  <w:style w:type="paragraph" w:styleId="BalloonText">
    <w:name w:val="Balloon Text"/>
    <w:basedOn w:val="Normal"/>
    <w:link w:val="BalloonTextChar"/>
    <w:rsid w:val="00136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6A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6A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6A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6A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6A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6A97"/>
    <w:pPr>
      <w:spacing w:before="0" w:after="0"/>
    </w:pPr>
  </w:style>
  <w:style w:type="paragraph" w:customStyle="1" w:styleId="BodyTextBold">
    <w:name w:val="Body Text Bold"/>
    <w:basedOn w:val="BodyText"/>
    <w:qFormat/>
    <w:rsid w:val="00136A97"/>
    <w:rPr>
      <w:b/>
    </w:rPr>
  </w:style>
  <w:style w:type="character" w:styleId="Hyperlink">
    <w:name w:val="Hyperlink"/>
    <w:basedOn w:val="DefaultParagraphFont"/>
    <w:uiPriority w:val="99"/>
    <w:unhideWhenUsed/>
    <w:rsid w:val="005204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2867</Characters>
  <Application>Microsoft Office Word</Application>
  <DocSecurity>0</DocSecurity>
  <Lines>65</Lines>
  <Paragraphs>46</Paragraphs>
  <ScaleCrop>false</ScaleCrop>
  <Company>Author-it Software Corporation Ltd.</Company>
  <LinksUpToDate>false</LinksUpToDate>
  <CharactersWithSpaces>3237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MSL976006 Evaluate and select appropriate test methods and/or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2023-02-03T07:18:00Z</dcterms:created>
  <dcterms:modified xsi:type="dcterms:W3CDTF">2023-02-03T07:18:00Z</dcterms:modified>
</cp:coreProperties>
</file>