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F69" w:rsidP="004C7F69">
      <w:pPr>
        <w:pStyle w:val="Title"/>
      </w:pPr>
      <w:r>
        <w:fldChar w:fldCharType="begin"/>
      </w:r>
      <w:r>
        <w:instrText xml:space="preserve"> TITLE   \* MERGEFORMAT </w:instrText>
      </w:r>
      <w:r>
        <w:fldChar w:fldCharType="separate"/>
      </w:r>
      <w:r>
        <w:t>MSL976003 Evaluate and select appropriate test methods and/or procedures</w:t>
      </w:r>
      <w:r>
        <w:fldChar w:fldCharType="end"/>
      </w:r>
    </w:p>
    <w:p w:rsidR="004C7F69" w:rsidP="004C7F69">
      <w:pPr>
        <w:pStyle w:val="Version"/>
        <w:sectPr w:rsidSect="00285D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D6E" w:rsidP="00285D6E">
      <w:pPr>
        <w:pStyle w:val="SuperHeading"/>
      </w:pPr>
      <w:r w:rsidRPr="00285D6E">
        <w:t>MSL976003 Evaluate and select appropriate test methods and/or procedures</w:t>
      </w:r>
    </w:p>
    <w:p w:rsidR="00000000" w:rsidRPr="00285D6E" w:rsidP="00285D6E">
      <w:pPr>
        <w:pStyle w:val="Heading1"/>
      </w:pPr>
      <w:bookmarkStart w:id="1" w:name="O_902066"/>
      <w:bookmarkEnd w:id="1"/>
      <w:r w:rsidRPr="00285D6E">
        <w:t>Modification History</w:t>
      </w:r>
    </w:p>
    <w:p w:rsidR="00000000" w:rsidRPr="00285D6E" w:rsidP="00285D6E">
      <w:pPr>
        <w:pStyle w:val="BodyText"/>
      </w:pPr>
      <w:r w:rsidRPr="00285D6E">
        <w:t xml:space="preserve">Release 1. Supersedes and is equivalent to MSL976003A Evaluate and select appropriate test methods and/or procedures  </w:t>
      </w:r>
    </w:p>
    <w:p w:rsidR="00000000" w:rsidRPr="00285D6E" w:rsidP="00285D6E">
      <w:pPr>
        <w:pStyle w:val="AllowPageBreak"/>
      </w:pPr>
    </w:p>
    <w:p w:rsidR="00000000" w:rsidRPr="00285D6E" w:rsidP="00285D6E">
      <w:pPr>
        <w:pStyle w:val="Heading1"/>
      </w:pPr>
      <w:bookmarkStart w:id="2" w:name="O_902074"/>
      <w:bookmarkEnd w:id="2"/>
      <w:r w:rsidRPr="00285D6E">
        <w:t>Application</w:t>
      </w:r>
    </w:p>
    <w:p w:rsidR="00000000" w:rsidRPr="00285D6E" w:rsidP="00285D6E">
      <w:pPr>
        <w:pStyle w:val="BodyText"/>
      </w:pPr>
      <w:r w:rsidRPr="00285D6E">
        <w:t>This unit of competency covers the ability to evaluate and select test methods and/or procedures that are relevant to the current and evolving scope of the laboratory's operations. Selection of test methods and/or procedures may involve the app</w:t>
      </w:r>
      <w:r w:rsidRPr="00285D6E">
        <w:t>raisal of new and emerging technologies and may inform decision making about possible extension of the laboratory's scope. Alternatively, it may relate to existing testing requirements, 'one-off' tests, client's special requirements or new tests required t</w:t>
      </w:r>
      <w:r w:rsidRPr="00285D6E">
        <w:t>o satisfy new legislative, accreditation, licensing or regulatory requirements.</w:t>
      </w:r>
    </w:p>
    <w:p w:rsidR="00000000" w:rsidRPr="00285D6E" w:rsidP="00285D6E">
      <w:pPr>
        <w:pStyle w:val="BodyText"/>
      </w:pPr>
    </w:p>
    <w:p w:rsidR="00000000" w:rsidRPr="00285D6E" w:rsidP="00285D6E">
      <w:pPr>
        <w:pStyle w:val="BodyText"/>
      </w:pPr>
      <w:r w:rsidRPr="00285D6E">
        <w:t>This unit of competency is applicable to senior technical officers, technical specialists and laboratory supervisors working in all industry sectors. They are required to demo</w:t>
      </w:r>
      <w:r w:rsidRPr="00285D6E">
        <w:t>nstrate wide ranging, highly specialised technical skills. They are expected to execute sound judgement in the selection of appropriate methodology under the broad guidance of scientists/medical staff/engineers. All operations must comply with relevant sta</w:t>
      </w:r>
      <w:r w:rsidRPr="00285D6E">
        <w:t>ndards, appropriate procedures and/or workplace requirements.</w:t>
      </w:r>
    </w:p>
    <w:p w:rsidR="00000000" w:rsidRPr="00285D6E" w:rsidP="00285D6E">
      <w:pPr>
        <w:pStyle w:val="BodyText"/>
      </w:pPr>
    </w:p>
    <w:p w:rsidR="00000000" w:rsidRPr="00285D6E" w:rsidP="00285D6E">
      <w:pPr>
        <w:pStyle w:val="BodyText"/>
      </w:pPr>
      <w:r w:rsidRPr="00285D6E">
        <w:t xml:space="preserve">While no specific licensing or certification requirements apply to this unit at the time of publication, laboratory operations are governed by relevant legislation, regulations and/or external </w:t>
      </w:r>
      <w:r w:rsidRPr="00285D6E">
        <w:t>accreditation requirements. Local requirements should be checked.</w:t>
      </w:r>
    </w:p>
    <w:p w:rsidR="00000000" w:rsidRPr="00285D6E" w:rsidP="00285D6E">
      <w:pPr>
        <w:pStyle w:val="AllowPageBreak"/>
      </w:pPr>
    </w:p>
    <w:p w:rsidR="00000000" w:rsidRPr="00285D6E" w:rsidP="00285D6E">
      <w:pPr>
        <w:pStyle w:val="Heading1"/>
      </w:pPr>
      <w:bookmarkStart w:id="3" w:name="O_902073"/>
      <w:bookmarkEnd w:id="3"/>
      <w:r w:rsidRPr="00285D6E">
        <w:t>Pre-requisite Unit</w:t>
      </w:r>
    </w:p>
    <w:p w:rsidR="00000000" w:rsidRPr="00285D6E" w:rsidP="00285D6E">
      <w:pPr>
        <w:pStyle w:val="BodyText"/>
      </w:pPr>
      <w:r w:rsidRPr="00285D6E">
        <w:t>Nil</w:t>
      </w:r>
    </w:p>
    <w:p w:rsidR="00000000" w:rsidRPr="00285D6E" w:rsidP="00285D6E">
      <w:pPr>
        <w:pStyle w:val="AllowPageBreak"/>
      </w:pPr>
    </w:p>
    <w:p w:rsidR="00000000" w:rsidRPr="00285D6E" w:rsidP="00285D6E">
      <w:pPr>
        <w:pStyle w:val="Heading1"/>
      </w:pPr>
      <w:bookmarkStart w:id="4" w:name="O_902072"/>
      <w:bookmarkEnd w:id="4"/>
      <w:r w:rsidRPr="00285D6E">
        <w:t>Competency Field</w:t>
      </w:r>
    </w:p>
    <w:p w:rsidR="00000000" w:rsidRPr="00285D6E" w:rsidP="00285D6E">
      <w:pPr>
        <w:pStyle w:val="BodyText"/>
      </w:pPr>
      <w:r w:rsidRPr="00285D6E">
        <w:t>Testing</w:t>
      </w:r>
    </w:p>
    <w:p w:rsidR="00000000" w:rsidRPr="00285D6E" w:rsidP="00285D6E">
      <w:pPr>
        <w:pStyle w:val="AllowPageBreak"/>
      </w:pPr>
    </w:p>
    <w:p w:rsidR="00000000" w:rsidRPr="00285D6E" w:rsidP="00285D6E">
      <w:pPr>
        <w:pStyle w:val="Heading1"/>
      </w:pPr>
      <w:bookmarkStart w:id="5" w:name="O_902071"/>
      <w:bookmarkEnd w:id="5"/>
      <w:r w:rsidRPr="00285D6E">
        <w:t>Unit Sector</w:t>
      </w:r>
    </w:p>
    <w:p w:rsidR="00000000" w:rsidRPr="00285D6E" w:rsidP="00285D6E">
      <w:pPr>
        <w:pStyle w:val="Heading1"/>
      </w:pPr>
      <w:bookmarkStart w:id="6" w:name="O_902070"/>
      <w:bookmarkEnd w:id="6"/>
      <w:r w:rsidRPr="00285D6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85D6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Elements describe the essenti</w:t>
            </w:r>
            <w:r w:rsidRPr="00285D6E">
              <w:t>al outcomes.</w:t>
            </w:r>
          </w:p>
        </w:tc>
        <w:tc>
          <w:tcPr>
            <w:tcW w:w="6380" w:type="dxa"/>
            <w:gridSpan w:val="2"/>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Performance criteria describe the performance needed to demonstrate achievement of the element.</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5D6E" w:rsidP="00285D6E">
            <w:pPr>
              <w:pStyle w:val="BodyText"/>
            </w:pPr>
            <w:r w:rsidRPr="00285D6E">
              <w:t>1</w:t>
            </w:r>
          </w:p>
        </w:tc>
        <w:tc>
          <w:tcPr>
            <w:tcW w:w="1962" w:type="dxa"/>
            <w:vMerge w:val="restart"/>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rPr>
                <w:rStyle w:val="SpecialBold"/>
              </w:rPr>
              <w:t>Determine sample characteristics and testing requirements</w:t>
            </w: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1.1</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Confirm drivers for evaluation and selection of test methods and/or procedures</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1.2</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Examine sample documentation and/or consult with sample supplier to determine nature of samples</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1.3</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Identify sample characteristics which may affect testing requirements</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1.4</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Determine testing requirements and their compatibility with existing standard operating procedures (SOPs)</w:t>
            </w:r>
          </w:p>
        </w:tc>
      </w:tr>
      <w:tr w:rsidTr="00285D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5D6E" w:rsidP="00285D6E">
            <w:pPr>
              <w:pStyle w:val="BodyText"/>
            </w:pPr>
            <w:r w:rsidRPr="00285D6E">
              <w:t>2</w:t>
            </w:r>
          </w:p>
        </w:tc>
        <w:tc>
          <w:tcPr>
            <w:tcW w:w="1962" w:type="dxa"/>
            <w:vMerge w:val="restart"/>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rPr>
                <w:rStyle w:val="SpecialBold"/>
              </w:rPr>
              <w:t>Evaluate possible test methods and/or procedures</w:t>
            </w: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2.1</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Identify appropriate standards, reference materials, test methods and/or procedures which may be applicable</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2.2</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 xml:space="preserve">Assess suitability of available standards, reference materials, test methods and/or procedures against testing requirements </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2.3</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 xml:space="preserve">Identify </w:t>
            </w:r>
            <w:r w:rsidRPr="00285D6E">
              <w:t>environmental and work health and safety (WHS) risks</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2.4</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Identify the need for specific equipment, instrumentation and/or specialised facilities</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2.5</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Estimate materials, personnel and possible training requirements</w:t>
            </w:r>
          </w:p>
        </w:tc>
      </w:tr>
      <w:tr w:rsidTr="00285D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5D6E" w:rsidP="00285D6E">
            <w:pPr>
              <w:pStyle w:val="BodyText"/>
            </w:pPr>
            <w:r w:rsidRPr="00285D6E">
              <w:t>3</w:t>
            </w:r>
          </w:p>
        </w:tc>
        <w:tc>
          <w:tcPr>
            <w:tcW w:w="1962" w:type="dxa"/>
            <w:vMerge w:val="restart"/>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rPr>
                <w:rStyle w:val="SpecialBold"/>
              </w:rPr>
              <w:t>Recommend appropriate test methods and/or procedures</w:t>
            </w: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3.1</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Select appropriate test methodology consistent with testing requirements and resource availability</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3.2</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Identify any changes to SOPs required prior to implementation of selected method and/or procedure</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3.3</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Recommend selected method and/or procedure to appropriate personnel and seek authorisation to proceed</w:t>
            </w:r>
          </w:p>
        </w:tc>
      </w:tr>
      <w:tr w:rsidTr="00285D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85D6E" w:rsidP="00285D6E">
            <w:pPr>
              <w:pStyle w:val="BodyText"/>
            </w:pPr>
            <w:r w:rsidRPr="00285D6E">
              <w:t>4</w:t>
            </w:r>
          </w:p>
        </w:tc>
        <w:tc>
          <w:tcPr>
            <w:tcW w:w="1962" w:type="dxa"/>
            <w:vMerge w:val="restart"/>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rPr>
                <w:rStyle w:val="SpecialBold"/>
              </w:rPr>
              <w:t>Confirm and document selected methods and/or procedures</w:t>
            </w: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4.1</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Obtain standards and/or reference materials for the method and/or procedure</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4.2</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Conduct tests to verify the performance of the method and/or procedure, standards and reference materials</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4.3</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Analyse the measurements and estimate uncertainties</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4.4</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Determine if legal traceability is required and develop appropriate chain of custody procedures</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4.5</w:t>
            </w:r>
          </w:p>
        </w:tc>
        <w:tc>
          <w:tcPr>
            <w:tcW w:w="561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Document all safety, sample preparation, testing, data handling and reporting procedures</w:t>
            </w:r>
          </w:p>
        </w:tc>
      </w:tr>
      <w:tr w:rsidTr="00285D6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4.</w:t>
            </w:r>
            <w:r w:rsidRPr="00285D6E">
              <w:t>6</w:t>
            </w:r>
          </w:p>
        </w:tc>
        <w:tc>
          <w:tcPr>
            <w:tcW w:w="5610" w:type="dxa"/>
            <w:tcBorders>
              <w:top w:val="nil"/>
              <w:left w:val="nil"/>
              <w:bottom w:val="nil"/>
              <w:right w:val="nil"/>
            </w:tcBorders>
            <w:tcMar>
              <w:top w:w="0" w:type="dxa"/>
              <w:left w:w="62" w:type="dxa"/>
              <w:bottom w:w="0" w:type="dxa"/>
              <w:right w:w="62" w:type="dxa"/>
            </w:tcMar>
          </w:tcPr>
          <w:p w:rsidR="00000000" w:rsidRPr="00285D6E" w:rsidP="00285D6E">
            <w:pPr>
              <w:pStyle w:val="BodyText"/>
            </w:pPr>
            <w:r w:rsidRPr="00285D6E">
              <w:t>Submit all documentation to appropriate personnel for review and approval</w:t>
            </w:r>
          </w:p>
        </w:tc>
      </w:tr>
    </w:tbl>
    <w:p w:rsidR="00000000" w:rsidRPr="00285D6E" w:rsidP="00285D6E">
      <w:pPr>
        <w:pStyle w:val="BodyText"/>
      </w:pPr>
    </w:p>
    <w:p w:rsidR="00000000" w:rsidRPr="00285D6E" w:rsidP="00285D6E">
      <w:pPr>
        <w:pStyle w:val="AllowPageBreak"/>
      </w:pPr>
    </w:p>
    <w:p w:rsidR="00000000" w:rsidRPr="00285D6E" w:rsidP="00285D6E">
      <w:pPr>
        <w:pStyle w:val="Heading1"/>
      </w:pPr>
      <w:bookmarkStart w:id="7" w:name="O_902069"/>
      <w:bookmarkEnd w:id="7"/>
      <w:r w:rsidRPr="00285D6E">
        <w:t>Foundation Skills</w:t>
      </w:r>
    </w:p>
    <w:p w:rsidR="00000000" w:rsidRPr="00285D6E" w:rsidP="00285D6E">
      <w:pPr>
        <w:pStyle w:val="BodyText"/>
      </w:pPr>
      <w:r w:rsidRPr="00285D6E">
        <w:t>This section describes those language, literacy, numeracy and employment skills that are essential to performance.</w:t>
      </w:r>
    </w:p>
    <w:p w:rsidR="00000000" w:rsidRPr="00285D6E" w:rsidP="00285D6E">
      <w:pPr>
        <w:pStyle w:val="BodyText"/>
      </w:pPr>
    </w:p>
    <w:p w:rsidR="00000000" w:rsidRPr="00285D6E" w:rsidP="00285D6E">
      <w:pPr>
        <w:pStyle w:val="BodyText"/>
      </w:pPr>
      <w:r w:rsidRPr="00285D6E">
        <w:t>Foundation skills essential to performance are explicit in the performance criteria of this unit of competency.</w:t>
      </w:r>
    </w:p>
    <w:p w:rsidR="00000000" w:rsidRPr="00285D6E" w:rsidP="00285D6E">
      <w:pPr>
        <w:pStyle w:val="AllowPageBreak"/>
      </w:pPr>
    </w:p>
    <w:p w:rsidR="00000000" w:rsidRPr="00285D6E" w:rsidP="00285D6E">
      <w:pPr>
        <w:pStyle w:val="Heading1"/>
      </w:pPr>
      <w:bookmarkStart w:id="8" w:name="O_902068"/>
      <w:bookmarkEnd w:id="8"/>
      <w:r w:rsidRPr="00285D6E">
        <w:t>Range of Conditions</w:t>
      </w:r>
    </w:p>
    <w:tbl>
      <w:tblPr>
        <w:tblW w:w="0" w:type="auto"/>
        <w:tblCellMar>
          <w:left w:w="62" w:type="dxa"/>
          <w:right w:w="62" w:type="dxa"/>
        </w:tblCellMar>
        <w:tblLook w:val="0000"/>
      </w:tblPr>
      <w:tblGrid>
        <w:gridCol w:w="2163"/>
        <w:gridCol w:w="7033"/>
      </w:tblGrid>
      <w:tr w:rsidTr="004C7F6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t>This field allows for different work environments and conditions that may affect performance. Essential ope</w:t>
            </w:r>
            <w:r w:rsidRPr="00285D6E">
              <w:t>rating conditions that may be present (depending on the work situation, needs of the candidate, accessibility of the item, and local industry and regional contexts) are included.</w:t>
            </w:r>
          </w:p>
        </w:tc>
      </w:tr>
      <w:tr w:rsidTr="004C7F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285D6E" w:rsidP="00285D6E">
            <w:pPr>
              <w:pStyle w:val="BodyText"/>
            </w:pPr>
            <w:r w:rsidRPr="00285D6E">
              <w:t>Standards, code</w:t>
            </w:r>
            <w:r w:rsidRPr="00285D6E">
              <w:t>s, procedures and/or workplace requirements include the latest version of one or more of:</w:t>
            </w:r>
          </w:p>
          <w:p w:rsidR="00000000" w:rsidRPr="00285D6E" w:rsidP="00285D6E">
            <w:pPr>
              <w:pStyle w:val="ListBullet"/>
            </w:pPr>
            <w:r w:rsidRPr="00285D6E">
              <w:t>Australian and international standards covering the requirements for the competence of testing and calibration laboratories, laboratory design and construction, phys</w:t>
            </w:r>
            <w:r w:rsidRPr="00285D6E">
              <w:t>ical containment levels and facility types, laboratory safety, quality and environmental management systems, and measurement management systems</w:t>
            </w:r>
          </w:p>
          <w:p w:rsidR="00000000" w:rsidRPr="00285D6E" w:rsidP="00285D6E">
            <w:pPr>
              <w:pStyle w:val="ListBullet"/>
            </w:pPr>
            <w:r w:rsidRPr="00285D6E">
              <w:t>national WHS standards and codes of practice, national measurement regulations and guidelines, and intellectual property (IP) and copyright legislation</w:t>
            </w:r>
          </w:p>
          <w:p w:rsidR="00000000" w:rsidRPr="00285D6E" w:rsidP="00285D6E">
            <w:pPr>
              <w:pStyle w:val="ListBullet"/>
            </w:pPr>
            <w:r w:rsidRPr="00285D6E">
              <w:t>Australian and international standards and guidelines covering specialised analysis, accuracy of measure</w:t>
            </w:r>
            <w:r w:rsidRPr="00285D6E">
              <w:t>ment methods and results, expression of uncertainty and quantifying uncertainty</w:t>
            </w:r>
          </w:p>
          <w:p w:rsidR="00000000" w:rsidRPr="00285D6E" w:rsidP="00285D6E">
            <w:pPr>
              <w:pStyle w:val="ListBullet"/>
            </w:pPr>
            <w:r w:rsidRPr="00285D6E">
              <w:t>specific codes, guidelines, procedures and methods, such as National Association of Testing Authorities (NATA) accreditation programs requirements, Australian code of good manu</w:t>
            </w:r>
            <w:r w:rsidRPr="00285D6E">
              <w:t>facturing practice for medicinal products (GMP), principles of good laboratory practice (GLP), Food Standards Australia New Zealand (FSANZ) Code, Australian Dangerous Goods Code, gene technology regulations, National Health and Medical Research Council (NH</w:t>
            </w:r>
            <w:r w:rsidRPr="00285D6E">
              <w:t>MRC) Guidelines, and Therapeutic Goods Regulations</w:t>
            </w:r>
          </w:p>
          <w:p w:rsidR="00000000" w:rsidRPr="00285D6E" w:rsidP="00285D6E">
            <w:pPr>
              <w:pStyle w:val="ListBullet"/>
            </w:pPr>
            <w:r w:rsidRPr="00285D6E">
              <w:t>workplace documents, such as SOPs; quality and equipment manuals; calibration and maintenance schedules; material safety data sheets (MSDS) and safety procedures; material, production and product specifica</w:t>
            </w:r>
            <w:r w:rsidRPr="00285D6E">
              <w:t>tions; production and laboratory schedules; workplace recording and reporting procedures; waste minimisation and safe disposal procedures; cleaning, hygiene and personal hygiene requirements; stock records and inventory</w:t>
            </w:r>
          </w:p>
          <w:p w:rsidR="00000000" w:rsidRPr="00285D6E" w:rsidP="00285D6E">
            <w:pPr>
              <w:pStyle w:val="ListBullet"/>
            </w:pPr>
            <w:r w:rsidRPr="00285D6E">
              <w:t>sampling procedures (labelling, prep</w:t>
            </w:r>
            <w:r w:rsidRPr="00285D6E">
              <w:t>aration, storage, transport and disposal)</w:t>
            </w:r>
          </w:p>
          <w:p w:rsidR="00000000" w:rsidRPr="00285D6E" w:rsidP="00285D6E">
            <w:pPr>
              <w:pStyle w:val="ListBullet"/>
            </w:pPr>
            <w:r w:rsidRPr="00285D6E">
              <w:t>test procedures (validated and authorised)</w:t>
            </w:r>
          </w:p>
          <w:p w:rsidR="00000000" w:rsidP="00285D6E">
            <w:pPr>
              <w:pStyle w:val="BodyText"/>
              <w:rPr>
                <w:lang w:val="en-NZ"/>
              </w:rPr>
            </w:pPr>
          </w:p>
        </w:tc>
      </w:tr>
      <w:tr w:rsidTr="004C7F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rPr>
                <w:rStyle w:val="SpecialBold"/>
              </w:rPr>
              <w:t xml:space="preserve">Tests and procedures </w:t>
            </w:r>
          </w:p>
        </w:tc>
        <w:tc>
          <w:tcPr>
            <w:tcW w:w="0" w:type="auto"/>
            <w:tcBorders>
              <w:top w:val="nil"/>
              <w:left w:val="nil"/>
              <w:bottom w:val="nil"/>
              <w:right w:val="nil"/>
            </w:tcBorders>
            <w:tcMar>
              <w:top w:w="0" w:type="dxa"/>
              <w:left w:w="62" w:type="dxa"/>
              <w:bottom w:w="0" w:type="dxa"/>
              <w:right w:w="62" w:type="dxa"/>
            </w:tcMar>
          </w:tcPr>
          <w:p w:rsidR="00000000" w:rsidRPr="00285D6E" w:rsidP="00285D6E">
            <w:pPr>
              <w:pStyle w:val="BodyText"/>
            </w:pPr>
            <w:r w:rsidRPr="00285D6E">
              <w:t>Tests and procedures include, but are not limited to, one or more of:</w:t>
            </w:r>
          </w:p>
          <w:p w:rsidR="00000000" w:rsidRPr="00285D6E" w:rsidP="00285D6E">
            <w:pPr>
              <w:pStyle w:val="ListBullet"/>
            </w:pPr>
            <w:r w:rsidRPr="00285D6E">
              <w:t>routine</w:t>
            </w:r>
          </w:p>
          <w:p w:rsidR="00000000" w:rsidRPr="00285D6E" w:rsidP="00285D6E">
            <w:pPr>
              <w:pStyle w:val="ListBullet"/>
            </w:pPr>
            <w:r w:rsidRPr="00285D6E">
              <w:t>infrequent and 'one-off'</w:t>
            </w:r>
          </w:p>
          <w:p w:rsidR="00000000" w:rsidRPr="00285D6E" w:rsidP="00285D6E">
            <w:pPr>
              <w:pStyle w:val="ListBullet"/>
            </w:pPr>
            <w:r w:rsidRPr="00285D6E">
              <w:t xml:space="preserve">quantitative or qualitative </w:t>
            </w:r>
          </w:p>
          <w:p w:rsidR="00000000" w:rsidRPr="00285D6E" w:rsidP="00285D6E">
            <w:pPr>
              <w:pStyle w:val="ListBullet"/>
            </w:pPr>
            <w:r w:rsidRPr="00285D6E">
              <w:t>identification</w:t>
            </w:r>
            <w:r w:rsidRPr="00285D6E">
              <w:t xml:space="preserve"> or quantification of biological, chemical or physical activity </w:t>
            </w:r>
          </w:p>
          <w:p w:rsidR="00000000" w:rsidRPr="00285D6E" w:rsidP="00285D6E">
            <w:pPr>
              <w:pStyle w:val="ListBullet"/>
            </w:pPr>
            <w:r w:rsidRPr="00285D6E">
              <w:t>gross characteristics of a sample, including in vitro and in vivo</w:t>
            </w:r>
          </w:p>
          <w:p w:rsidR="00000000" w:rsidRPr="00285D6E" w:rsidP="00285D6E">
            <w:pPr>
              <w:pStyle w:val="ListBullet"/>
            </w:pPr>
            <w:r w:rsidRPr="00285D6E">
              <w:t>detection of chemical, physical or biological characteristics, features, markers or responses</w:t>
            </w:r>
          </w:p>
          <w:p w:rsidR="00000000" w:rsidP="00285D6E">
            <w:pPr>
              <w:pStyle w:val="BodyText"/>
              <w:rPr>
                <w:lang w:val="en-NZ"/>
              </w:rPr>
            </w:pPr>
          </w:p>
        </w:tc>
      </w:tr>
      <w:tr w:rsidTr="004C7F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rPr>
                <w:rStyle w:val="SpecialBold"/>
              </w:rPr>
              <w:t xml:space="preserve">Drivers for the evaluation and selection of test methods and/or procedures </w:t>
            </w:r>
          </w:p>
        </w:tc>
        <w:tc>
          <w:tcPr>
            <w:tcW w:w="0" w:type="auto"/>
            <w:tcBorders>
              <w:top w:val="nil"/>
              <w:left w:val="nil"/>
              <w:bottom w:val="nil"/>
              <w:right w:val="nil"/>
            </w:tcBorders>
            <w:tcMar>
              <w:top w:w="0" w:type="dxa"/>
              <w:left w:w="62" w:type="dxa"/>
              <w:bottom w:w="0" w:type="dxa"/>
              <w:right w:w="62" w:type="dxa"/>
            </w:tcMar>
          </w:tcPr>
          <w:p w:rsidR="00000000" w:rsidRPr="00285D6E" w:rsidP="00285D6E">
            <w:pPr>
              <w:pStyle w:val="BodyText"/>
            </w:pPr>
            <w:r w:rsidRPr="00285D6E">
              <w:t>Drivers for the evaluation and selection of test methods and procedures include, but are not limited to, one or more of:</w:t>
            </w:r>
          </w:p>
          <w:p w:rsidR="00000000" w:rsidRPr="00285D6E" w:rsidP="00285D6E">
            <w:pPr>
              <w:pStyle w:val="ListBullet"/>
            </w:pPr>
            <w:r w:rsidRPr="00285D6E">
              <w:t>new or amended legislation, regulation and licensing, accr</w:t>
            </w:r>
            <w:r w:rsidRPr="00285D6E">
              <w:t>editation requirements</w:t>
            </w:r>
          </w:p>
          <w:p w:rsidR="00000000" w:rsidRPr="00285D6E" w:rsidP="00285D6E">
            <w:pPr>
              <w:pStyle w:val="ListBullet"/>
            </w:pPr>
            <w:r w:rsidRPr="00285D6E">
              <w:t>public, political and commercial pressures</w:t>
            </w:r>
          </w:p>
          <w:p w:rsidR="00000000" w:rsidRPr="00285D6E" w:rsidP="00285D6E">
            <w:pPr>
              <w:pStyle w:val="ListBullet"/>
            </w:pPr>
            <w:r w:rsidRPr="00285D6E">
              <w:t>'one-off' testing of potentially hazardous or contaminated materials following an environmental emergency or incident</w:t>
            </w:r>
          </w:p>
          <w:p w:rsidR="00000000" w:rsidRPr="00285D6E" w:rsidP="00285D6E">
            <w:pPr>
              <w:pStyle w:val="ListBullet"/>
            </w:pPr>
            <w:r w:rsidRPr="00285D6E">
              <w:t>introduction of new reference standards, new or modified equipment and i</w:t>
            </w:r>
            <w:r w:rsidRPr="00285D6E">
              <w:t>nstruments</w:t>
            </w:r>
          </w:p>
          <w:p w:rsidR="00000000" w:rsidRPr="00285D6E" w:rsidP="00285D6E">
            <w:pPr>
              <w:pStyle w:val="ListBullet"/>
            </w:pPr>
            <w:r w:rsidRPr="00285D6E">
              <w:t>introduction of commercial products that are potentially hazardous</w:t>
            </w:r>
          </w:p>
          <w:p w:rsidR="00000000" w:rsidRPr="00285D6E" w:rsidP="00285D6E">
            <w:pPr>
              <w:pStyle w:val="ListBullet"/>
            </w:pPr>
            <w:r w:rsidRPr="00285D6E">
              <w:t>control of new, or changed, starting materials, in-process materials and products</w:t>
            </w:r>
          </w:p>
          <w:p w:rsidR="00000000" w:rsidRPr="00285D6E" w:rsidP="00285D6E">
            <w:pPr>
              <w:pStyle w:val="ListBullet"/>
            </w:pPr>
            <w:r w:rsidRPr="00285D6E">
              <w:t>troubleshooting of production, environmental and public health issues</w:t>
            </w:r>
          </w:p>
          <w:p w:rsidR="00000000" w:rsidRPr="00285D6E" w:rsidP="00285D6E">
            <w:pPr>
              <w:pStyle w:val="ListBullet"/>
            </w:pPr>
            <w:r w:rsidRPr="00285D6E">
              <w:t>environmental monitoring o</w:t>
            </w:r>
            <w:r w:rsidRPr="00285D6E">
              <w:t>f new sites</w:t>
            </w:r>
          </w:p>
          <w:p w:rsidR="00000000" w:rsidRPr="00285D6E" w:rsidP="00285D6E">
            <w:pPr>
              <w:pStyle w:val="ListBullet"/>
            </w:pPr>
            <w:r w:rsidRPr="00285D6E">
              <w:t>investigation of customer's complaints</w:t>
            </w:r>
          </w:p>
          <w:p w:rsidR="00000000" w:rsidRPr="00285D6E" w:rsidP="00285D6E">
            <w:pPr>
              <w:pStyle w:val="ListBullet"/>
            </w:pPr>
            <w:r w:rsidRPr="00285D6E">
              <w:t>specialised testing of forensic, medical or veterinary samples</w:t>
            </w:r>
          </w:p>
          <w:p w:rsidR="00000000" w:rsidRPr="00285D6E" w:rsidP="00285D6E">
            <w:pPr>
              <w:pStyle w:val="ListBullet"/>
            </w:pPr>
            <w:r w:rsidRPr="00285D6E">
              <w:t>need to meet customer specific or changed requirements</w:t>
            </w:r>
          </w:p>
          <w:p w:rsidR="00000000" w:rsidRPr="00285D6E" w:rsidP="00285D6E">
            <w:pPr>
              <w:pStyle w:val="ListBullet"/>
            </w:pPr>
            <w:r w:rsidRPr="00285D6E">
              <w:t>development of new products</w:t>
            </w:r>
          </w:p>
          <w:p w:rsidR="00000000" w:rsidP="00285D6E">
            <w:pPr>
              <w:pStyle w:val="BodyText"/>
              <w:rPr>
                <w:lang w:val="en-NZ"/>
              </w:rPr>
            </w:pPr>
          </w:p>
        </w:tc>
      </w:tr>
      <w:tr w:rsidTr="004C7F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rPr>
                <w:rStyle w:val="SpecialBold"/>
              </w:rPr>
              <w:t xml:space="preserve">Factors which may influence method evaluation and selection </w:t>
            </w:r>
          </w:p>
        </w:tc>
        <w:tc>
          <w:tcPr>
            <w:tcW w:w="0" w:type="auto"/>
            <w:tcBorders>
              <w:top w:val="nil"/>
              <w:left w:val="nil"/>
              <w:bottom w:val="nil"/>
              <w:right w:val="nil"/>
            </w:tcBorders>
            <w:tcMar>
              <w:top w:w="0" w:type="dxa"/>
              <w:left w:w="62" w:type="dxa"/>
              <w:bottom w:w="0" w:type="dxa"/>
              <w:right w:w="62" w:type="dxa"/>
            </w:tcMar>
          </w:tcPr>
          <w:p w:rsidR="00000000" w:rsidRPr="00285D6E" w:rsidP="00285D6E">
            <w:pPr>
              <w:pStyle w:val="BodyText"/>
            </w:pPr>
            <w:r w:rsidRPr="00285D6E">
              <w:t>Factors which influence method evaluation and selection include, but are not limited to, one or more of:</w:t>
            </w:r>
          </w:p>
          <w:p w:rsidR="00000000" w:rsidRPr="00285D6E" w:rsidP="00285D6E">
            <w:pPr>
              <w:pStyle w:val="ListBullet"/>
            </w:pPr>
            <w:r w:rsidRPr="00285D6E">
              <w:t xml:space="preserve">quantity and nature of sample available for testing </w:t>
            </w:r>
          </w:p>
          <w:p w:rsidR="00000000" w:rsidRPr="00285D6E" w:rsidP="00285D6E">
            <w:pPr>
              <w:pStyle w:val="ListBullet"/>
            </w:pPr>
            <w:r w:rsidRPr="00285D6E">
              <w:t>levels of detection required</w:t>
            </w:r>
          </w:p>
          <w:p w:rsidR="00000000" w:rsidRPr="00285D6E" w:rsidP="00285D6E">
            <w:pPr>
              <w:pStyle w:val="ListBullet"/>
            </w:pPr>
            <w:r w:rsidRPr="00285D6E">
              <w:t>type of</w:t>
            </w:r>
            <w:r w:rsidRPr="00285D6E">
              <w:t xml:space="preserve"> matrix, possible contaminants and resulting interference</w:t>
            </w:r>
          </w:p>
          <w:p w:rsidR="00000000" w:rsidRPr="00285D6E" w:rsidP="00285D6E">
            <w:pPr>
              <w:pStyle w:val="ListBullet"/>
            </w:pPr>
            <w:r w:rsidRPr="00285D6E">
              <w:t>safety</w:t>
            </w:r>
          </w:p>
          <w:p w:rsidR="00000000" w:rsidRPr="00285D6E" w:rsidP="00285D6E">
            <w:pPr>
              <w:pStyle w:val="ListBullet"/>
            </w:pPr>
            <w:r w:rsidRPr="00285D6E">
              <w:t>availability of suitable equipment, instruments and availability of trained staff</w:t>
            </w:r>
          </w:p>
          <w:p w:rsidR="00000000" w:rsidRPr="00285D6E" w:rsidP="00285D6E">
            <w:pPr>
              <w:pStyle w:val="ListBullet"/>
            </w:pPr>
            <w:r w:rsidRPr="00285D6E">
              <w:t>cost</w:t>
            </w:r>
          </w:p>
          <w:p w:rsidR="00000000" w:rsidRPr="00285D6E" w:rsidP="00285D6E">
            <w:pPr>
              <w:pStyle w:val="ListBullet"/>
            </w:pPr>
            <w:r w:rsidRPr="00285D6E">
              <w:t>selectivity of method, range, accuracy, precision and acceptable uncertainty</w:t>
            </w:r>
          </w:p>
          <w:p w:rsidR="00000000" w:rsidRPr="00285D6E" w:rsidP="00285D6E">
            <w:pPr>
              <w:pStyle w:val="ListBullet"/>
            </w:pPr>
            <w:r w:rsidRPr="00285D6E">
              <w:t>whether it is appropriate/e</w:t>
            </w:r>
            <w:r w:rsidRPr="00285D6E">
              <w:t>thical to perform the test</w:t>
            </w:r>
          </w:p>
          <w:p w:rsidR="00000000" w:rsidRPr="00285D6E" w:rsidP="00285D6E">
            <w:pPr>
              <w:pStyle w:val="ListBullet"/>
            </w:pPr>
            <w:r w:rsidRPr="00285D6E">
              <w:t>balancing customer, workplace and/or regulatory/licensing requirements</w:t>
            </w:r>
          </w:p>
          <w:p w:rsidR="00000000" w:rsidP="00285D6E">
            <w:pPr>
              <w:pStyle w:val="BodyText"/>
              <w:rPr>
                <w:lang w:val="en-NZ"/>
              </w:rPr>
            </w:pPr>
          </w:p>
        </w:tc>
      </w:tr>
      <w:tr w:rsidTr="004C7F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85D6E">
            <w:pPr>
              <w:pStyle w:val="BodyText"/>
              <w:rPr>
                <w:lang w:val="en-NZ"/>
              </w:rPr>
            </w:pPr>
            <w:r w:rsidRPr="00285D6E">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285D6E" w:rsidP="00285D6E">
            <w:pPr>
              <w:pStyle w:val="BodyText"/>
            </w:pPr>
            <w:r w:rsidRPr="00285D6E">
              <w:t>WHS and environmental management requirements include:</w:t>
            </w:r>
          </w:p>
          <w:p w:rsidR="00000000" w:rsidRPr="00285D6E" w:rsidP="00285D6E">
            <w:pPr>
              <w:pStyle w:val="BodyText"/>
            </w:pPr>
            <w:r w:rsidRPr="00285D6E">
              <w:rPr>
                <w:rStyle w:val="Symbols"/>
              </w:rPr>
              <w:t></w:t>
            </w:r>
            <w:r w:rsidRPr="00285D6E">
              <w:rPr>
                <w:rStyle w:val="Symbols"/>
              </w:rPr>
              <w:tab/>
            </w:r>
            <w:r w:rsidRPr="00285D6E">
              <w:t>complying with WHS and environmental m</w:t>
            </w:r>
            <w:r w:rsidRPr="00285D6E">
              <w:t>anagement requirements at all times, which may be imposed through state/territory or federal legislation. These requirements must not be compromised at any time</w:t>
            </w:r>
          </w:p>
          <w:p w:rsidR="00000000" w:rsidRPr="00285D6E" w:rsidP="00285D6E">
            <w:pPr>
              <w:pStyle w:val="BodyText"/>
            </w:pPr>
            <w:r w:rsidRPr="00285D6E">
              <w:rPr>
                <w:rStyle w:val="Symbols"/>
              </w:rPr>
              <w:t></w:t>
            </w:r>
            <w:r w:rsidRPr="00285D6E">
              <w:rPr>
                <w:rStyle w:val="Symbols"/>
              </w:rPr>
              <w:tab/>
            </w:r>
            <w:r w:rsidRPr="00285D6E">
              <w:t>applying standard precautions relating to the potentially hazardous nature of samples</w:t>
            </w:r>
          </w:p>
          <w:p w:rsidR="00000000" w:rsidRPr="00285D6E" w:rsidP="00285D6E">
            <w:pPr>
              <w:pStyle w:val="ListBullet"/>
            </w:pPr>
            <w:r w:rsidRPr="00285D6E">
              <w:t>access</w:t>
            </w:r>
            <w:r w:rsidRPr="00285D6E">
              <w:t>ing and applying current industry understanding of infection control issued by the National Health and Medical Research Council (NHMRC) and State and Territory Departments of Health, where relevant</w:t>
            </w:r>
          </w:p>
        </w:tc>
      </w:tr>
    </w:tbl>
    <w:p w:rsidR="00000000" w:rsidRPr="00285D6E" w:rsidP="00285D6E">
      <w:pPr>
        <w:pStyle w:val="BodyText"/>
      </w:pPr>
    </w:p>
    <w:p w:rsidR="00000000" w:rsidRPr="00285D6E" w:rsidP="00285D6E">
      <w:pPr>
        <w:pStyle w:val="AllowPageBreak"/>
      </w:pPr>
    </w:p>
    <w:p w:rsidR="00000000" w:rsidRPr="00285D6E" w:rsidP="00285D6E">
      <w:pPr>
        <w:pStyle w:val="Heading1"/>
      </w:pPr>
      <w:bookmarkStart w:id="9" w:name="O_902067"/>
      <w:bookmarkEnd w:id="9"/>
      <w:r w:rsidRPr="00285D6E">
        <w:t>Unit Mapping Information</w:t>
      </w:r>
    </w:p>
    <w:p w:rsidR="00000000" w:rsidRPr="00285D6E" w:rsidP="00285D6E">
      <w:pPr>
        <w:pStyle w:val="BodyText"/>
      </w:pPr>
      <w:r w:rsidRPr="00285D6E">
        <w:t>Release 1. Sup</w:t>
      </w:r>
      <w:r w:rsidRPr="00285D6E">
        <w:t xml:space="preserve">ersedes and is equivalent to MSL976003A Evaluate and select appropriate test methods and/or procedures  </w:t>
      </w:r>
    </w:p>
    <w:p w:rsidR="00000000" w:rsidRPr="00285D6E" w:rsidP="00285D6E">
      <w:pPr>
        <w:pStyle w:val="AllowPageBreak"/>
      </w:pPr>
    </w:p>
    <w:p w:rsidR="00000000" w:rsidRPr="00285D6E" w:rsidP="00285D6E">
      <w:pPr>
        <w:pStyle w:val="Heading1"/>
      </w:pPr>
      <w:bookmarkStart w:id="10" w:name="O_902060"/>
      <w:bookmarkEnd w:id="10"/>
      <w:r w:rsidRPr="00285D6E">
        <w:t>Links</w:t>
      </w:r>
    </w:p>
    <w:p w:rsidR="00000000" w:rsidRPr="00285D6E" w:rsidP="00285D6E">
      <w:pPr>
        <w:pStyle w:val="BodyText"/>
      </w:pPr>
      <w:r w:rsidRPr="00285D6E">
        <w:t>MSA Training Package Implementation Guides - http://mskills.org.au/training-packages/info/</w:t>
      </w:r>
    </w:p>
    <w:p w:rsidR="00000000" w:rsidRPr="00285D6E" w:rsidP="00285D6E"/>
    <w:sectPr w:rsidSect="00285D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6E" w:rsidRPr="004C7F69" w:rsidP="004C7F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F69" w:rsidP="00285D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7F69" w:rsidP="00285D6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7F69" w:rsidP="00285D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6E" w:rsidRPr="004C7F69" w:rsidP="004C7F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D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F69" w:rsidRPr="002D2AF8" w:rsidP="00285D6E">
    <w:pPr>
      <w:pStyle w:val="Header"/>
      <w:framePr w:wrap="around"/>
    </w:pPr>
    <w:r>
      <w:fldChar w:fldCharType="begin"/>
    </w:r>
    <w:r>
      <w:instrText xml:space="preserve"> TITLE   \* MERGEFORMAT </w:instrText>
    </w:r>
    <w:r>
      <w:fldChar w:fldCharType="separate"/>
    </w:r>
    <w:r>
      <w:t>MSL976003 Evaluate and select appropriate test methods and/or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4C7F69" w:rsidP="00285D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8092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FA12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D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D6E"/>
    <w:pPr>
      <w:spacing w:before="360" w:after="60"/>
      <w:outlineLvl w:val="0"/>
    </w:pPr>
    <w:rPr>
      <w:sz w:val="32"/>
    </w:rPr>
  </w:style>
  <w:style w:type="paragraph" w:styleId="Heading2">
    <w:name w:val="heading 2"/>
    <w:basedOn w:val="HeadingBase"/>
    <w:next w:val="BodyText"/>
    <w:link w:val="Heading2Char"/>
    <w:qFormat/>
    <w:rsid w:val="00285D6E"/>
    <w:pPr>
      <w:keepLines/>
      <w:spacing w:before="240" w:after="120"/>
      <w:outlineLvl w:val="1"/>
    </w:pPr>
    <w:rPr>
      <w:sz w:val="28"/>
      <w:szCs w:val="40"/>
    </w:rPr>
  </w:style>
  <w:style w:type="paragraph" w:styleId="Heading3">
    <w:name w:val="heading 3"/>
    <w:basedOn w:val="HeadingBase"/>
    <w:next w:val="BodyText"/>
    <w:link w:val="Heading3Char"/>
    <w:qFormat/>
    <w:rsid w:val="00285D6E"/>
    <w:pPr>
      <w:spacing w:before="180" w:after="120"/>
      <w:outlineLvl w:val="2"/>
    </w:pPr>
    <w:rPr>
      <w:spacing w:val="-10"/>
      <w:kern w:val="32"/>
    </w:rPr>
  </w:style>
  <w:style w:type="paragraph" w:styleId="Heading4">
    <w:name w:val="heading 4"/>
    <w:basedOn w:val="HeadingBase"/>
    <w:next w:val="BodyText"/>
    <w:link w:val="Heading4Char"/>
    <w:qFormat/>
    <w:rsid w:val="00285D6E"/>
    <w:pPr>
      <w:spacing w:before="160" w:after="120"/>
      <w:outlineLvl w:val="3"/>
    </w:pPr>
    <w:rPr>
      <w:sz w:val="22"/>
    </w:rPr>
  </w:style>
  <w:style w:type="paragraph" w:styleId="Heading5">
    <w:name w:val="heading 5"/>
    <w:basedOn w:val="HeadingBase"/>
    <w:next w:val="Normal"/>
    <w:link w:val="Heading5Char"/>
    <w:qFormat/>
    <w:rsid w:val="00285D6E"/>
    <w:pPr>
      <w:spacing w:before="80"/>
      <w:outlineLvl w:val="4"/>
    </w:pPr>
    <w:rPr>
      <w:color w:val="918585"/>
      <w:sz w:val="20"/>
    </w:rPr>
  </w:style>
  <w:style w:type="paragraph" w:styleId="Heading6">
    <w:name w:val="heading 6"/>
    <w:basedOn w:val="HeadingBase"/>
    <w:next w:val="Normal"/>
    <w:link w:val="Heading6Char"/>
    <w:qFormat/>
    <w:rsid w:val="00285D6E"/>
    <w:pPr>
      <w:spacing w:before="60"/>
      <w:outlineLvl w:val="5"/>
    </w:pPr>
    <w:rPr>
      <w:color w:val="918585"/>
      <w:sz w:val="20"/>
    </w:rPr>
  </w:style>
  <w:style w:type="paragraph" w:styleId="Heading7">
    <w:name w:val="heading 7"/>
    <w:basedOn w:val="Normal"/>
    <w:next w:val="Normal"/>
    <w:link w:val="Heading7Char"/>
    <w:qFormat/>
    <w:rsid w:val="00285D6E"/>
    <w:pPr>
      <w:ind w:left="720"/>
      <w:outlineLvl w:val="6"/>
    </w:pPr>
    <w:rPr>
      <w:i/>
    </w:rPr>
  </w:style>
  <w:style w:type="paragraph" w:styleId="Heading8">
    <w:name w:val="heading 8"/>
    <w:basedOn w:val="Normal"/>
    <w:next w:val="Normal"/>
    <w:link w:val="Heading8Char"/>
    <w:qFormat/>
    <w:rsid w:val="00285D6E"/>
    <w:pPr>
      <w:ind w:left="720"/>
      <w:outlineLvl w:val="7"/>
    </w:pPr>
    <w:rPr>
      <w:i/>
    </w:rPr>
  </w:style>
  <w:style w:type="paragraph" w:styleId="Heading9">
    <w:name w:val="heading 9"/>
    <w:basedOn w:val="Normal"/>
    <w:next w:val="Normal"/>
    <w:link w:val="Heading9Char"/>
    <w:qFormat/>
    <w:rsid w:val="00285D6E"/>
    <w:pPr>
      <w:ind w:left="720"/>
      <w:outlineLvl w:val="8"/>
    </w:pPr>
    <w:rPr>
      <w:i/>
    </w:rPr>
  </w:style>
  <w:style w:type="character" w:default="1" w:styleId="DefaultParagraphFont">
    <w:name w:val="Default Paragraph Font"/>
    <w:uiPriority w:val="1"/>
    <w:unhideWhenUsed/>
    <w:rsid w:val="00285D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D6E"/>
  </w:style>
  <w:style w:type="character" w:customStyle="1" w:styleId="Heading1Char">
    <w:name w:val="Heading 1 Char"/>
    <w:basedOn w:val="DefaultParagraphFont"/>
    <w:link w:val="Heading1"/>
    <w:rsid w:val="00285D6E"/>
    <w:rPr>
      <w:rFonts w:ascii="Times New Roman" w:eastAsia="Times New Roman" w:hAnsi="Times New Roman" w:cs="Times New Roman"/>
      <w:b/>
      <w:sz w:val="32"/>
      <w:szCs w:val="20"/>
      <w:lang w:eastAsia="en-US"/>
    </w:rPr>
  </w:style>
  <w:style w:type="paragraph" w:styleId="BodyText">
    <w:name w:val="Body Text"/>
    <w:basedOn w:val="Normal"/>
    <w:link w:val="BodyTextChar"/>
    <w:rsid w:val="00285D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5D6E"/>
    <w:rPr>
      <w:rFonts w:ascii="Times New Roman" w:eastAsia="Times New Roman" w:hAnsi="Times New Roman" w:cs="Times New Roman"/>
      <w:sz w:val="24"/>
      <w:lang w:eastAsia="en-US"/>
    </w:rPr>
  </w:style>
  <w:style w:type="paragraph" w:styleId="ListBullet">
    <w:name w:val="List Bullet"/>
    <w:basedOn w:val="List"/>
    <w:rsid w:val="00285D6E"/>
    <w:pPr>
      <w:numPr>
        <w:numId w:val="12"/>
      </w:numPr>
      <w:tabs>
        <w:tab w:val="clear" w:pos="340"/>
      </w:tabs>
      <w:spacing w:before="40" w:after="40"/>
    </w:pPr>
  </w:style>
  <w:style w:type="character" w:customStyle="1" w:styleId="SpecialBold">
    <w:name w:val="Special Bold"/>
    <w:basedOn w:val="DefaultParagraphFont"/>
    <w:rsid w:val="00285D6E"/>
    <w:rPr>
      <w:b/>
      <w:spacing w:val="0"/>
    </w:rPr>
  </w:style>
  <w:style w:type="paragraph" w:customStyle="1" w:styleId="SuperHeading">
    <w:name w:val="SuperHeading"/>
    <w:basedOn w:val="Normal"/>
    <w:rsid w:val="00285D6E"/>
    <w:pPr>
      <w:spacing w:before="240" w:after="120"/>
      <w:outlineLvl w:val="0"/>
    </w:pPr>
    <w:rPr>
      <w:rFonts w:ascii="Times New Roman" w:hAnsi="Times New Roman"/>
      <w:b/>
      <w:sz w:val="32"/>
    </w:rPr>
  </w:style>
  <w:style w:type="paragraph" w:customStyle="1" w:styleId="AllowPageBreak">
    <w:name w:val="AllowPageBreak"/>
    <w:rsid w:val="00285D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85D6E"/>
    <w:rPr>
      <w:rFonts w:ascii="Symbol" w:hAnsi="Symbol"/>
    </w:rPr>
  </w:style>
  <w:style w:type="character" w:customStyle="1" w:styleId="Heading2Char">
    <w:name w:val="Heading 2 Char"/>
    <w:basedOn w:val="DefaultParagraphFont"/>
    <w:link w:val="Heading2"/>
    <w:rsid w:val="00285D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D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D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D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D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D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D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D6E"/>
    <w:rPr>
      <w:rFonts w:ascii="Courier New" w:eastAsia="Times New Roman" w:hAnsi="Courier New" w:cs="Times New Roman"/>
      <w:i/>
      <w:szCs w:val="20"/>
      <w:lang w:eastAsia="en-US"/>
    </w:rPr>
  </w:style>
  <w:style w:type="paragraph" w:customStyle="1" w:styleId="HeadingBase">
    <w:name w:val="Heading Base"/>
    <w:rsid w:val="00285D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D6E"/>
    <w:pPr>
      <w:tabs>
        <w:tab w:val="right" w:leader="dot" w:pos="9072"/>
      </w:tabs>
      <w:ind w:left="567"/>
    </w:pPr>
    <w:rPr>
      <w:szCs w:val="22"/>
    </w:rPr>
  </w:style>
  <w:style w:type="paragraph" w:customStyle="1" w:styleId="TOCBase">
    <w:name w:val="TOC Base"/>
    <w:rsid w:val="00285D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D6E"/>
    <w:pPr>
      <w:tabs>
        <w:tab w:val="right" w:leader="dot" w:pos="9072"/>
      </w:tabs>
      <w:spacing w:before="40" w:after="40"/>
      <w:ind w:left="284"/>
    </w:pPr>
    <w:rPr>
      <w:rFonts w:ascii="Times New Roman" w:hAnsi="Times New Roman"/>
    </w:rPr>
  </w:style>
  <w:style w:type="paragraph" w:styleId="TOC1">
    <w:name w:val="toc 1"/>
    <w:basedOn w:val="TOCBase"/>
    <w:next w:val="Normal"/>
    <w:rsid w:val="00285D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D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D6E"/>
    <w:rPr>
      <w:rFonts w:ascii="Times New Roman" w:eastAsia="Times New Roman" w:hAnsi="Times New Roman" w:cs="Times New Roman"/>
      <w:sz w:val="16"/>
      <w:lang w:eastAsia="en-US"/>
    </w:rPr>
  </w:style>
  <w:style w:type="paragraph" w:styleId="Title">
    <w:name w:val="Title"/>
    <w:basedOn w:val="HeadingBase"/>
    <w:link w:val="TitleChar"/>
    <w:qFormat/>
    <w:rsid w:val="00285D6E"/>
    <w:pPr>
      <w:spacing w:before="5040"/>
      <w:jc w:val="center"/>
    </w:pPr>
    <w:rPr>
      <w:sz w:val="48"/>
      <w:szCs w:val="72"/>
      <w:lang w:val="en-US"/>
    </w:rPr>
  </w:style>
  <w:style w:type="character" w:customStyle="1" w:styleId="TitleChar">
    <w:name w:val="Title Char"/>
    <w:basedOn w:val="DefaultParagraphFont"/>
    <w:link w:val="Title"/>
    <w:rsid w:val="00285D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D6E"/>
    <w:pPr>
      <w:tabs>
        <w:tab w:val="left" w:pos="3600"/>
        <w:tab w:val="left" w:pos="3958"/>
      </w:tabs>
    </w:pPr>
  </w:style>
  <w:style w:type="paragraph" w:styleId="List">
    <w:name w:val="List"/>
    <w:basedOn w:val="BodyText"/>
    <w:next w:val="BodyText"/>
    <w:rsid w:val="00285D6E"/>
    <w:pPr>
      <w:tabs>
        <w:tab w:val="left" w:pos="340"/>
      </w:tabs>
      <w:spacing w:before="60" w:after="60"/>
      <w:ind w:left="340" w:hanging="340"/>
    </w:pPr>
  </w:style>
  <w:style w:type="paragraph" w:customStyle="1" w:styleId="Note">
    <w:name w:val="Note"/>
    <w:basedOn w:val="BodyText"/>
    <w:rsid w:val="00285D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D6E"/>
    <w:pPr>
      <w:framePr w:wrap="auto" w:hAnchor="text" w:y="6049"/>
    </w:pPr>
    <w:rPr>
      <w:color w:val="000000"/>
      <w:sz w:val="40"/>
    </w:rPr>
  </w:style>
  <w:style w:type="paragraph" w:customStyle="1" w:styleId="TOCTitle">
    <w:name w:val="TOCTitle"/>
    <w:basedOn w:val="Heading1"/>
    <w:rsid w:val="00285D6E"/>
    <w:pPr>
      <w:spacing w:after="240"/>
      <w:jc w:val="center"/>
      <w:outlineLvl w:val="9"/>
    </w:pPr>
    <w:rPr>
      <w:caps/>
    </w:rPr>
  </w:style>
  <w:style w:type="paragraph" w:customStyle="1" w:styleId="Version">
    <w:name w:val="Version"/>
    <w:rsid w:val="00285D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5D6E"/>
    <w:pPr>
      <w:numPr>
        <w:numId w:val="13"/>
      </w:numPr>
      <w:tabs>
        <w:tab w:val="clear" w:pos="680"/>
      </w:tabs>
    </w:pPr>
  </w:style>
  <w:style w:type="paragraph" w:styleId="Index1">
    <w:name w:val="index 1"/>
    <w:basedOn w:val="Normal"/>
    <w:next w:val="Normal"/>
    <w:semiHidden/>
    <w:rsid w:val="00285D6E"/>
    <w:pPr>
      <w:keepNext w:val="0"/>
      <w:tabs>
        <w:tab w:val="right" w:pos="4176"/>
      </w:tabs>
      <w:ind w:left="198" w:hanging="198"/>
    </w:pPr>
    <w:rPr>
      <w:rFonts w:ascii="Garamond" w:hAnsi="Garamond"/>
    </w:rPr>
  </w:style>
  <w:style w:type="paragraph" w:styleId="IndexHeading">
    <w:name w:val="index heading"/>
    <w:basedOn w:val="Normal"/>
    <w:next w:val="Index1"/>
    <w:semiHidden/>
    <w:rsid w:val="00285D6E"/>
    <w:pPr>
      <w:spacing w:before="120" w:after="120"/>
    </w:pPr>
    <w:rPr>
      <w:rFonts w:ascii="Arial" w:hAnsi="Arial"/>
      <w:b/>
      <w:color w:val="918585"/>
      <w:sz w:val="24"/>
    </w:rPr>
  </w:style>
  <w:style w:type="paragraph" w:styleId="Header">
    <w:name w:val="header"/>
    <w:basedOn w:val="Normal"/>
    <w:link w:val="HeaderChar"/>
    <w:rsid w:val="00285D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D6E"/>
    <w:rPr>
      <w:rFonts w:ascii="Times New Roman" w:eastAsia="Times New Roman" w:hAnsi="Times New Roman" w:cs="Times New Roman"/>
      <w:sz w:val="16"/>
      <w:szCs w:val="20"/>
      <w:lang w:val="en-GB" w:eastAsia="en-US"/>
    </w:rPr>
  </w:style>
  <w:style w:type="paragraph" w:customStyle="1" w:styleId="Chapter">
    <w:name w:val="Chapter"/>
    <w:basedOn w:val="Normal"/>
    <w:rsid w:val="00285D6E"/>
    <w:pPr>
      <w:spacing w:before="240"/>
    </w:pPr>
    <w:rPr>
      <w:rFonts w:ascii="Times New Roman" w:hAnsi="Times New Roman"/>
      <w:smallCaps/>
      <w:spacing w:val="80"/>
      <w:sz w:val="28"/>
    </w:rPr>
  </w:style>
  <w:style w:type="paragraph" w:customStyle="1" w:styleId="InChapter">
    <w:name w:val="InChapter"/>
    <w:basedOn w:val="Heading3"/>
    <w:rsid w:val="00285D6E"/>
    <w:pPr>
      <w:spacing w:after="240"/>
      <w:outlineLvl w:val="9"/>
    </w:pPr>
    <w:rPr>
      <w:noProof/>
    </w:rPr>
  </w:style>
  <w:style w:type="paragraph" w:styleId="Index2">
    <w:name w:val="index 2"/>
    <w:basedOn w:val="Normal"/>
    <w:next w:val="Normal"/>
    <w:semiHidden/>
    <w:rsid w:val="00285D6E"/>
    <w:pPr>
      <w:tabs>
        <w:tab w:val="right" w:pos="4176"/>
      </w:tabs>
      <w:ind w:left="568" w:hanging="284"/>
    </w:pPr>
    <w:rPr>
      <w:rFonts w:ascii="Garamond" w:hAnsi="Garamond"/>
    </w:rPr>
  </w:style>
  <w:style w:type="paragraph" w:customStyle="1" w:styleId="Byline">
    <w:name w:val="Byline"/>
    <w:rsid w:val="00285D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D6E"/>
    <w:pPr>
      <w:tabs>
        <w:tab w:val="clear" w:pos="3600"/>
        <w:tab w:val="clear" w:pos="3958"/>
      </w:tabs>
      <w:jc w:val="right"/>
    </w:pPr>
  </w:style>
  <w:style w:type="character" w:styleId="Emphasis">
    <w:name w:val="Emphasis"/>
    <w:basedOn w:val="DefaultParagraphFont"/>
    <w:qFormat/>
    <w:rsid w:val="00285D6E"/>
    <w:rPr>
      <w:i/>
    </w:rPr>
  </w:style>
  <w:style w:type="paragraph" w:styleId="Caption">
    <w:name w:val="caption"/>
    <w:basedOn w:val="BodyText"/>
    <w:next w:val="Normal"/>
    <w:qFormat/>
    <w:rsid w:val="00285D6E"/>
    <w:pPr>
      <w:framePr w:w="2268" w:hSpace="181" w:vSpace="181" w:wrap="around" w:vAnchor="text" w:hAnchor="page" w:x="1135" w:y="285" w:anchorLock="1"/>
    </w:pPr>
    <w:rPr>
      <w:i/>
    </w:rPr>
  </w:style>
  <w:style w:type="paragraph" w:customStyle="1" w:styleId="MiniTOCTitle">
    <w:name w:val="MiniTOCTitle"/>
    <w:basedOn w:val="Heading4"/>
    <w:rsid w:val="00285D6E"/>
    <w:pPr>
      <w:spacing w:before="240"/>
      <w:outlineLvl w:val="9"/>
    </w:pPr>
    <w:rPr>
      <w:noProof/>
      <w:sz w:val="24"/>
    </w:rPr>
  </w:style>
  <w:style w:type="paragraph" w:customStyle="1" w:styleId="MiniTOCItem">
    <w:name w:val="MiniTOCItem"/>
    <w:basedOn w:val="ListBullet"/>
    <w:rsid w:val="00285D6E"/>
    <w:pPr>
      <w:numPr>
        <w:numId w:val="0"/>
      </w:numPr>
      <w:tabs>
        <w:tab w:val="right" w:leader="dot" w:pos="6521"/>
      </w:tabs>
      <w:spacing w:before="0" w:after="0"/>
    </w:pPr>
  </w:style>
  <w:style w:type="paragraph" w:customStyle="1" w:styleId="TOFTitle">
    <w:name w:val="TOFTitle"/>
    <w:basedOn w:val="TOCTitle"/>
    <w:rsid w:val="00285D6E"/>
  </w:style>
  <w:style w:type="paragraph" w:styleId="TableofFigures">
    <w:name w:val="table of figures"/>
    <w:basedOn w:val="Normal"/>
    <w:next w:val="Normal"/>
    <w:semiHidden/>
    <w:rsid w:val="00285D6E"/>
    <w:pPr>
      <w:tabs>
        <w:tab w:val="right" w:leader="dot" w:pos="9072"/>
      </w:tabs>
      <w:ind w:left="970" w:hanging="403"/>
    </w:pPr>
    <w:rPr>
      <w:rFonts w:ascii="Times New Roman" w:hAnsi="Times New Roman"/>
      <w:b/>
    </w:rPr>
  </w:style>
  <w:style w:type="paragraph" w:styleId="ListNumber">
    <w:name w:val="List Number"/>
    <w:basedOn w:val="List"/>
    <w:rsid w:val="00285D6E"/>
    <w:pPr>
      <w:numPr>
        <w:numId w:val="10"/>
      </w:numPr>
    </w:pPr>
  </w:style>
  <w:style w:type="character" w:customStyle="1" w:styleId="WingdingSymbols">
    <w:name w:val="Wingding Symbols"/>
    <w:rsid w:val="00285D6E"/>
    <w:rPr>
      <w:rFonts w:ascii="Wingdings" w:hAnsi="Wingdings"/>
    </w:rPr>
  </w:style>
  <w:style w:type="paragraph" w:customStyle="1" w:styleId="TableHeading">
    <w:name w:val="Table Heading"/>
    <w:basedOn w:val="HeadingBase"/>
    <w:rsid w:val="00285D6E"/>
    <w:pPr>
      <w:keepLines/>
      <w:pBdr>
        <w:bottom w:val="single" w:sz="6" w:space="1" w:color="918585"/>
      </w:pBdr>
      <w:spacing w:before="240"/>
    </w:pPr>
  </w:style>
  <w:style w:type="character" w:customStyle="1" w:styleId="HotSpot">
    <w:name w:val="HotSpot"/>
    <w:rsid w:val="00285D6E"/>
    <w:rPr>
      <w:color w:val="0033CC"/>
      <w:u w:val="none"/>
    </w:rPr>
  </w:style>
  <w:style w:type="paragraph" w:customStyle="1" w:styleId="BodyTextRight">
    <w:name w:val="Body Text Right"/>
    <w:basedOn w:val="BodyText"/>
    <w:rsid w:val="00285D6E"/>
    <w:pPr>
      <w:spacing w:before="0" w:after="0"/>
      <w:jc w:val="right"/>
    </w:pPr>
  </w:style>
  <w:style w:type="paragraph" w:styleId="Index3">
    <w:name w:val="index 3"/>
    <w:basedOn w:val="ListNumber2"/>
    <w:next w:val="Normal"/>
    <w:semiHidden/>
    <w:rsid w:val="00285D6E"/>
    <w:pPr>
      <w:numPr>
        <w:numId w:val="0"/>
      </w:numPr>
      <w:tabs>
        <w:tab w:val="right" w:leader="dot" w:pos="4176"/>
      </w:tabs>
    </w:pPr>
  </w:style>
  <w:style w:type="paragraph" w:styleId="ListNumber2">
    <w:name w:val="List Number 2"/>
    <w:basedOn w:val="List2"/>
    <w:rsid w:val="00285D6E"/>
    <w:pPr>
      <w:numPr>
        <w:numId w:val="9"/>
      </w:numPr>
      <w:tabs>
        <w:tab w:val="clear" w:pos="1060"/>
      </w:tabs>
    </w:pPr>
  </w:style>
  <w:style w:type="paragraph" w:customStyle="1" w:styleId="MarginNote">
    <w:name w:val="Margin Note"/>
    <w:basedOn w:val="BodyText"/>
    <w:rsid w:val="00285D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D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D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D6E"/>
    <w:rPr>
      <w:sz w:val="32"/>
    </w:rPr>
  </w:style>
  <w:style w:type="paragraph" w:customStyle="1" w:styleId="HeadingProcedure">
    <w:name w:val="Heading Procedure"/>
    <w:basedOn w:val="HeadingBase"/>
    <w:next w:val="Normal"/>
    <w:rsid w:val="00285D6E"/>
    <w:pPr>
      <w:tabs>
        <w:tab w:val="left" w:pos="0"/>
      </w:tabs>
      <w:spacing w:before="120" w:after="60"/>
    </w:pPr>
    <w:rPr>
      <w:i/>
      <w:color w:val="918585"/>
      <w:sz w:val="22"/>
    </w:rPr>
  </w:style>
  <w:style w:type="paragraph" w:customStyle="1" w:styleId="TableBodyText">
    <w:name w:val="Table Body Text"/>
    <w:basedOn w:val="BodyText"/>
    <w:rsid w:val="00285D6E"/>
    <w:pPr>
      <w:spacing w:before="60" w:after="60"/>
    </w:pPr>
  </w:style>
  <w:style w:type="paragraph" w:styleId="ListContinue">
    <w:name w:val="List Continue"/>
    <w:basedOn w:val="List"/>
    <w:rsid w:val="00285D6E"/>
    <w:pPr>
      <w:ind w:firstLine="0"/>
    </w:pPr>
  </w:style>
  <w:style w:type="paragraph" w:customStyle="1" w:styleId="ListNote">
    <w:name w:val="List Note"/>
    <w:basedOn w:val="List"/>
    <w:rsid w:val="00285D6E"/>
    <w:pPr>
      <w:pBdr>
        <w:top w:val="single" w:sz="6" w:space="2" w:color="918585"/>
        <w:bottom w:val="single" w:sz="6" w:space="2" w:color="918585"/>
      </w:pBdr>
      <w:tabs>
        <w:tab w:val="left" w:pos="1021"/>
      </w:tabs>
      <w:ind w:firstLine="0"/>
    </w:pPr>
  </w:style>
  <w:style w:type="paragraph" w:customStyle="1" w:styleId="Warning">
    <w:name w:val="Warning"/>
    <w:basedOn w:val="BodyText"/>
    <w:rsid w:val="00285D6E"/>
    <w:pPr>
      <w:shd w:val="clear" w:color="auto" w:fill="D9D9D9"/>
      <w:tabs>
        <w:tab w:val="left" w:pos="992"/>
      </w:tabs>
      <w:ind w:left="119" w:right="119"/>
    </w:pPr>
    <w:rPr>
      <w:sz w:val="20"/>
    </w:rPr>
  </w:style>
  <w:style w:type="paragraph" w:customStyle="1" w:styleId="MarginIcons">
    <w:name w:val="Margin Icons"/>
    <w:basedOn w:val="BodyText"/>
    <w:rsid w:val="00285D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D6E"/>
    <w:rPr>
      <w:rFonts w:ascii="Courier New" w:hAnsi="Courier New"/>
    </w:rPr>
  </w:style>
  <w:style w:type="paragraph" w:customStyle="1" w:styleId="NoteBullet">
    <w:name w:val="Note Bullet"/>
    <w:basedOn w:val="Note"/>
    <w:rsid w:val="00285D6E"/>
    <w:pPr>
      <w:tabs>
        <w:tab w:val="clear" w:pos="680"/>
      </w:tabs>
      <w:spacing w:before="60" w:after="60"/>
    </w:pPr>
  </w:style>
  <w:style w:type="paragraph" w:customStyle="1" w:styleId="SubHeading2">
    <w:name w:val="SubHeading2"/>
    <w:basedOn w:val="HeadingBase"/>
    <w:rsid w:val="00285D6E"/>
    <w:pPr>
      <w:spacing w:before="240" w:after="60"/>
    </w:pPr>
    <w:rPr>
      <w:sz w:val="20"/>
    </w:rPr>
  </w:style>
  <w:style w:type="paragraph" w:customStyle="1" w:styleId="SubHeading1">
    <w:name w:val="SubHeading1"/>
    <w:basedOn w:val="HeadingBase"/>
    <w:rsid w:val="00285D6E"/>
    <w:pPr>
      <w:spacing w:before="240" w:after="60"/>
    </w:pPr>
    <w:rPr>
      <w:color w:val="918585"/>
      <w:sz w:val="22"/>
    </w:rPr>
  </w:style>
  <w:style w:type="paragraph" w:customStyle="1" w:styleId="SideHeading">
    <w:name w:val="Side Heading"/>
    <w:basedOn w:val="HeadingBase"/>
    <w:rsid w:val="00285D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D6E"/>
    <w:pPr>
      <w:tabs>
        <w:tab w:val="num" w:pos="360"/>
      </w:tabs>
    </w:pPr>
  </w:style>
  <w:style w:type="paragraph" w:styleId="PlainText">
    <w:name w:val="Plain Text"/>
    <w:basedOn w:val="Normal"/>
    <w:link w:val="PlainTextChar"/>
    <w:rsid w:val="00285D6E"/>
    <w:rPr>
      <w:sz w:val="20"/>
    </w:rPr>
  </w:style>
  <w:style w:type="character" w:customStyle="1" w:styleId="PlainTextChar">
    <w:name w:val="Plain Text Char"/>
    <w:basedOn w:val="DefaultParagraphFont"/>
    <w:link w:val="PlainText"/>
    <w:rsid w:val="00285D6E"/>
    <w:rPr>
      <w:rFonts w:ascii="Courier New" w:eastAsia="Times New Roman" w:hAnsi="Courier New" w:cs="Times New Roman"/>
      <w:sz w:val="20"/>
      <w:szCs w:val="20"/>
      <w:lang w:eastAsia="en-US"/>
    </w:rPr>
  </w:style>
  <w:style w:type="character" w:customStyle="1" w:styleId="MenuOption">
    <w:name w:val="Menu Option"/>
    <w:basedOn w:val="DefaultParagraphFont"/>
    <w:rsid w:val="00285D6E"/>
    <w:rPr>
      <w:b/>
      <w:smallCaps/>
    </w:rPr>
  </w:style>
  <w:style w:type="paragraph" w:customStyle="1" w:styleId="TableListNumber">
    <w:name w:val="Table List Number"/>
    <w:basedOn w:val="ListNumber"/>
    <w:rsid w:val="00285D6E"/>
    <w:pPr>
      <w:numPr>
        <w:numId w:val="0"/>
      </w:numPr>
    </w:pPr>
  </w:style>
  <w:style w:type="paragraph" w:styleId="TOC4">
    <w:name w:val="toc 4"/>
    <w:basedOn w:val="TOCBase"/>
    <w:next w:val="Normal"/>
    <w:semiHidden/>
    <w:rsid w:val="00285D6E"/>
    <w:pPr>
      <w:tabs>
        <w:tab w:val="right" w:leader="dot" w:pos="9071"/>
      </w:tabs>
      <w:ind w:left="1701"/>
    </w:pPr>
  </w:style>
  <w:style w:type="paragraph" w:customStyle="1" w:styleId="ListAlpha">
    <w:name w:val="List Alpha"/>
    <w:basedOn w:val="List"/>
    <w:rsid w:val="00285D6E"/>
    <w:pPr>
      <w:numPr>
        <w:numId w:val="8"/>
      </w:numPr>
    </w:pPr>
  </w:style>
  <w:style w:type="paragraph" w:customStyle="1" w:styleId="ListAlpha2">
    <w:name w:val="List Alpha 2"/>
    <w:basedOn w:val="List2"/>
    <w:rsid w:val="00285D6E"/>
    <w:pPr>
      <w:numPr>
        <w:numId w:val="7"/>
      </w:numPr>
    </w:pPr>
  </w:style>
  <w:style w:type="paragraph" w:styleId="List2">
    <w:name w:val="List 2"/>
    <w:basedOn w:val="BodyText"/>
    <w:rsid w:val="00285D6E"/>
    <w:pPr>
      <w:tabs>
        <w:tab w:val="left" w:pos="680"/>
      </w:tabs>
      <w:spacing w:before="60" w:after="60"/>
      <w:ind w:left="680" w:hanging="340"/>
    </w:pPr>
  </w:style>
  <w:style w:type="paragraph" w:styleId="List3">
    <w:name w:val="List 3"/>
    <w:basedOn w:val="BodyText"/>
    <w:rsid w:val="00285D6E"/>
    <w:pPr>
      <w:tabs>
        <w:tab w:val="left" w:pos="1021"/>
      </w:tabs>
      <w:spacing w:before="60" w:after="60"/>
      <w:ind w:left="1020" w:hanging="340"/>
    </w:pPr>
  </w:style>
  <w:style w:type="paragraph" w:styleId="List4">
    <w:name w:val="List 4"/>
    <w:basedOn w:val="BodyText"/>
    <w:rsid w:val="00285D6E"/>
    <w:pPr>
      <w:tabs>
        <w:tab w:val="left" w:pos="1361"/>
      </w:tabs>
      <w:spacing w:before="60" w:after="60"/>
      <w:ind w:left="1361" w:hanging="340"/>
    </w:pPr>
  </w:style>
  <w:style w:type="paragraph" w:styleId="List5">
    <w:name w:val="List 5"/>
    <w:basedOn w:val="BodyText"/>
    <w:rsid w:val="00285D6E"/>
    <w:pPr>
      <w:tabs>
        <w:tab w:val="left" w:pos="1701"/>
      </w:tabs>
      <w:spacing w:before="60" w:after="60"/>
      <w:ind w:left="1701" w:hanging="340"/>
    </w:pPr>
  </w:style>
  <w:style w:type="paragraph" w:styleId="ListBullet3">
    <w:name w:val="List Bullet 3"/>
    <w:basedOn w:val="List3"/>
    <w:rsid w:val="00285D6E"/>
    <w:pPr>
      <w:numPr>
        <w:numId w:val="14"/>
      </w:numPr>
      <w:tabs>
        <w:tab w:val="clear" w:pos="1021"/>
      </w:tabs>
      <w:ind w:left="1037" w:hanging="357"/>
    </w:pPr>
  </w:style>
  <w:style w:type="paragraph" w:styleId="ListBullet4">
    <w:name w:val="List Bullet 4"/>
    <w:basedOn w:val="List4"/>
    <w:rsid w:val="00285D6E"/>
    <w:pPr>
      <w:numPr>
        <w:numId w:val="2"/>
      </w:numPr>
      <w:tabs>
        <w:tab w:val="clear" w:pos="1361"/>
      </w:tabs>
    </w:pPr>
  </w:style>
  <w:style w:type="paragraph" w:styleId="ListBullet5">
    <w:name w:val="List Bullet 5"/>
    <w:basedOn w:val="List5"/>
    <w:rsid w:val="00285D6E"/>
    <w:pPr>
      <w:numPr>
        <w:numId w:val="3"/>
      </w:numPr>
    </w:pPr>
  </w:style>
  <w:style w:type="paragraph" w:styleId="ListContinue2">
    <w:name w:val="List Continue 2"/>
    <w:basedOn w:val="List2"/>
    <w:rsid w:val="00285D6E"/>
    <w:pPr>
      <w:ind w:firstLine="0"/>
    </w:pPr>
  </w:style>
  <w:style w:type="paragraph" w:styleId="ListContinue3">
    <w:name w:val="List Continue 3"/>
    <w:basedOn w:val="List3"/>
    <w:rsid w:val="00285D6E"/>
    <w:pPr>
      <w:ind w:left="1021" w:firstLine="0"/>
    </w:pPr>
  </w:style>
  <w:style w:type="paragraph" w:styleId="ListContinue4">
    <w:name w:val="List Continue 4"/>
    <w:basedOn w:val="List4"/>
    <w:rsid w:val="00285D6E"/>
    <w:pPr>
      <w:ind w:firstLine="0"/>
    </w:pPr>
  </w:style>
  <w:style w:type="paragraph" w:styleId="ListContinue5">
    <w:name w:val="List Continue 5"/>
    <w:basedOn w:val="List5"/>
    <w:rsid w:val="00285D6E"/>
    <w:pPr>
      <w:ind w:firstLine="0"/>
    </w:pPr>
  </w:style>
  <w:style w:type="paragraph" w:styleId="ListNumber3">
    <w:name w:val="List Number 3"/>
    <w:basedOn w:val="List3"/>
    <w:rsid w:val="00285D6E"/>
    <w:pPr>
      <w:numPr>
        <w:numId w:val="4"/>
      </w:numPr>
    </w:pPr>
  </w:style>
  <w:style w:type="paragraph" w:styleId="ListNumber4">
    <w:name w:val="List Number 4"/>
    <w:basedOn w:val="List4"/>
    <w:rsid w:val="00285D6E"/>
    <w:pPr>
      <w:numPr>
        <w:numId w:val="5"/>
      </w:numPr>
    </w:pPr>
  </w:style>
  <w:style w:type="paragraph" w:styleId="ListNumber5">
    <w:name w:val="List Number 5"/>
    <w:basedOn w:val="List5"/>
    <w:rsid w:val="00285D6E"/>
    <w:pPr>
      <w:numPr>
        <w:numId w:val="6"/>
      </w:numPr>
    </w:pPr>
  </w:style>
  <w:style w:type="paragraph" w:styleId="BlockText">
    <w:name w:val="Block Text"/>
    <w:basedOn w:val="Normal"/>
    <w:rsid w:val="00285D6E"/>
    <w:pPr>
      <w:spacing w:after="120"/>
      <w:ind w:left="1440" w:right="1440"/>
    </w:pPr>
  </w:style>
  <w:style w:type="character" w:customStyle="1" w:styleId="Subscript">
    <w:name w:val="Subscript"/>
    <w:basedOn w:val="DefaultParagraphFont"/>
    <w:rsid w:val="00285D6E"/>
    <w:rPr>
      <w:sz w:val="16"/>
      <w:vertAlign w:val="subscript"/>
    </w:rPr>
  </w:style>
  <w:style w:type="character" w:customStyle="1" w:styleId="Superscript">
    <w:name w:val="Superscript"/>
    <w:basedOn w:val="DefaultParagraphFont"/>
    <w:rsid w:val="00285D6E"/>
    <w:rPr>
      <w:sz w:val="16"/>
      <w:vertAlign w:val="superscript"/>
    </w:rPr>
  </w:style>
  <w:style w:type="character" w:customStyle="1" w:styleId="MenuOptions">
    <w:name w:val="Menu Options"/>
    <w:basedOn w:val="DefaultParagraphFont"/>
    <w:rsid w:val="00285D6E"/>
    <w:rPr>
      <w:rFonts w:ascii="Arial Narrow" w:hAnsi="Arial Narrow"/>
      <w:smallCaps/>
    </w:rPr>
  </w:style>
  <w:style w:type="character" w:customStyle="1" w:styleId="Buttons">
    <w:name w:val="Buttons"/>
    <w:basedOn w:val="DefaultParagraphFont"/>
    <w:rsid w:val="00285D6E"/>
    <w:rPr>
      <w:b/>
    </w:rPr>
  </w:style>
  <w:style w:type="character" w:customStyle="1" w:styleId="Underlined">
    <w:name w:val="Underlined"/>
    <w:basedOn w:val="DefaultParagraphFont"/>
    <w:rsid w:val="00285D6E"/>
    <w:rPr>
      <w:u w:val="single"/>
    </w:rPr>
  </w:style>
  <w:style w:type="paragraph" w:customStyle="1" w:styleId="TableBodyTextRight">
    <w:name w:val="Table Body Text Right"/>
    <w:basedOn w:val="TableBodyText"/>
    <w:rsid w:val="00285D6E"/>
    <w:pPr>
      <w:widowControl w:val="0"/>
      <w:autoSpaceDE w:val="0"/>
      <w:autoSpaceDN w:val="0"/>
      <w:adjustRightInd w:val="0"/>
      <w:jc w:val="right"/>
    </w:pPr>
    <w:rPr>
      <w:rFonts w:cs="Arial"/>
      <w:szCs w:val="18"/>
    </w:rPr>
  </w:style>
  <w:style w:type="paragraph" w:customStyle="1" w:styleId="CopyrightText">
    <w:name w:val="Copyright Text"/>
    <w:basedOn w:val="BodyText"/>
    <w:rsid w:val="00285D6E"/>
    <w:rPr>
      <w:sz w:val="18"/>
    </w:rPr>
  </w:style>
  <w:style w:type="paragraph" w:customStyle="1" w:styleId="BodySmallRight">
    <w:name w:val="Body Small Right"/>
    <w:basedOn w:val="BodyTextRight"/>
    <w:rsid w:val="00285D6E"/>
    <w:rPr>
      <w:sz w:val="18"/>
      <w:szCs w:val="18"/>
    </w:rPr>
  </w:style>
  <w:style w:type="paragraph" w:customStyle="1" w:styleId="MarginEdition">
    <w:name w:val="Margin Edition"/>
    <w:basedOn w:val="MarginNote"/>
    <w:rsid w:val="00285D6E"/>
    <w:pPr>
      <w:spacing w:before="0" w:after="0"/>
    </w:pPr>
    <w:rPr>
      <w:rFonts w:ascii="Times New Roman" w:hAnsi="Times New Roman"/>
      <w:color w:val="999999"/>
    </w:rPr>
  </w:style>
  <w:style w:type="paragraph" w:customStyle="1" w:styleId="Spacer">
    <w:name w:val="Spacer"/>
    <w:basedOn w:val="Normal"/>
    <w:rsid w:val="00285D6E"/>
    <w:rPr>
      <w:sz w:val="2"/>
      <w:szCs w:val="2"/>
    </w:rPr>
  </w:style>
  <w:style w:type="character" w:customStyle="1" w:styleId="Small">
    <w:name w:val="Small"/>
    <w:basedOn w:val="DefaultParagraphFont"/>
    <w:rsid w:val="00285D6E"/>
    <w:rPr>
      <w:sz w:val="16"/>
    </w:rPr>
  </w:style>
  <w:style w:type="paragraph" w:customStyle="1" w:styleId="WideTable">
    <w:name w:val="Wide Table"/>
    <w:basedOn w:val="Normal"/>
    <w:rsid w:val="00285D6E"/>
    <w:pPr>
      <w:ind w:left="-1418"/>
    </w:pPr>
    <w:rPr>
      <w:sz w:val="2"/>
      <w:szCs w:val="2"/>
    </w:rPr>
  </w:style>
  <w:style w:type="character" w:styleId="PageNumber">
    <w:name w:val="page number"/>
    <w:basedOn w:val="DefaultParagraphFont"/>
    <w:rsid w:val="00285D6E"/>
  </w:style>
  <w:style w:type="paragraph" w:styleId="Quote">
    <w:name w:val="Quote"/>
    <w:basedOn w:val="Heading1"/>
    <w:link w:val="QuoteChar"/>
    <w:qFormat/>
    <w:rsid w:val="00285D6E"/>
    <w:rPr>
      <w:b w:val="0"/>
      <w:sz w:val="72"/>
      <w:szCs w:val="72"/>
      <w:lang w:val="en-NZ"/>
    </w:rPr>
  </w:style>
  <w:style w:type="character" w:customStyle="1" w:styleId="QuoteChar">
    <w:name w:val="Quote Char"/>
    <w:basedOn w:val="DefaultParagraphFont"/>
    <w:link w:val="Quote"/>
    <w:rsid w:val="00285D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D6E"/>
    <w:pPr>
      <w:pageBreakBefore/>
    </w:pPr>
  </w:style>
  <w:style w:type="paragraph" w:customStyle="1" w:styleId="Border">
    <w:name w:val="Border"/>
    <w:basedOn w:val="Normal"/>
    <w:qFormat/>
    <w:rsid w:val="00285D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D6E"/>
    <w:rPr>
      <w:b/>
      <w:bCs/>
      <w:i/>
      <w:iCs/>
      <w:color w:val="auto"/>
    </w:rPr>
  </w:style>
  <w:style w:type="paragraph" w:styleId="IntenseQuote">
    <w:name w:val="Intense Quote"/>
    <w:basedOn w:val="Normal"/>
    <w:next w:val="Normal"/>
    <w:link w:val="IntenseQuoteChar"/>
    <w:uiPriority w:val="30"/>
    <w:qFormat/>
    <w:rsid w:val="00285D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D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D6E"/>
    <w:rPr>
      <w:smallCaps/>
      <w:color w:val="auto"/>
      <w:u w:val="single"/>
    </w:rPr>
  </w:style>
  <w:style w:type="character" w:styleId="IntenseReference">
    <w:name w:val="Intense Reference"/>
    <w:basedOn w:val="DefaultParagraphFont"/>
    <w:uiPriority w:val="32"/>
    <w:qFormat/>
    <w:rsid w:val="00285D6E"/>
    <w:rPr>
      <w:b/>
      <w:bCs/>
      <w:smallCaps/>
      <w:color w:val="auto"/>
      <w:spacing w:val="5"/>
      <w:u w:val="single"/>
    </w:rPr>
  </w:style>
  <w:style w:type="paragraph" w:customStyle="1" w:styleId="2ColumnHeading">
    <w:name w:val="2Column Heading"/>
    <w:basedOn w:val="BodyText"/>
    <w:qFormat/>
    <w:rsid w:val="00285D6E"/>
    <w:pPr>
      <w:spacing w:after="60"/>
      <w:ind w:left="-2268"/>
    </w:pPr>
    <w:rPr>
      <w:b/>
    </w:rPr>
  </w:style>
  <w:style w:type="paragraph" w:customStyle="1" w:styleId="Heading1TOC">
    <w:name w:val="Heading1 TOC"/>
    <w:basedOn w:val="Normal"/>
    <w:qFormat/>
    <w:rsid w:val="00285D6E"/>
    <w:pPr>
      <w:spacing w:before="240" w:after="120"/>
    </w:pPr>
    <w:rPr>
      <w:rFonts w:ascii="Times New Roman" w:hAnsi="Times New Roman"/>
      <w:b/>
      <w:sz w:val="32"/>
    </w:rPr>
  </w:style>
  <w:style w:type="paragraph" w:customStyle="1" w:styleId="Heading2TOC">
    <w:name w:val="Heading2 TOC"/>
    <w:basedOn w:val="Normal"/>
    <w:qFormat/>
    <w:rsid w:val="00285D6E"/>
    <w:pPr>
      <w:spacing w:before="240" w:after="60"/>
    </w:pPr>
    <w:rPr>
      <w:rFonts w:ascii="Times New Roman" w:hAnsi="Times New Roman"/>
      <w:b/>
      <w:sz w:val="28"/>
    </w:rPr>
  </w:style>
  <w:style w:type="character" w:customStyle="1" w:styleId="Underline">
    <w:name w:val="Underline"/>
    <w:basedOn w:val="DefaultParagraphFont"/>
    <w:qFormat/>
    <w:rsid w:val="00285D6E"/>
    <w:rPr>
      <w:u w:val="single"/>
    </w:rPr>
  </w:style>
  <w:style w:type="character" w:customStyle="1" w:styleId="BoldandItalics">
    <w:name w:val="Bold and Italics"/>
    <w:qFormat/>
    <w:rsid w:val="00285D6E"/>
    <w:rPr>
      <w:b/>
      <w:i/>
      <w:u w:val="none"/>
    </w:rPr>
  </w:style>
  <w:style w:type="paragraph" w:styleId="BalloonText">
    <w:name w:val="Balloon Text"/>
    <w:basedOn w:val="Normal"/>
    <w:link w:val="BalloonTextChar"/>
    <w:rsid w:val="00285D6E"/>
    <w:rPr>
      <w:rFonts w:ascii="Tahoma" w:hAnsi="Tahoma" w:cs="Tahoma"/>
      <w:sz w:val="16"/>
      <w:szCs w:val="16"/>
    </w:rPr>
  </w:style>
  <w:style w:type="character" w:customStyle="1" w:styleId="BalloonTextChar">
    <w:name w:val="Balloon Text Char"/>
    <w:basedOn w:val="DefaultParagraphFont"/>
    <w:link w:val="BalloonText"/>
    <w:rsid w:val="00285D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D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5D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D6E"/>
    <w:rPr>
      <w:b/>
      <w:color w:val="660033"/>
      <w:spacing w:val="0"/>
    </w:rPr>
  </w:style>
  <w:style w:type="paragraph" w:customStyle="1" w:styleId="Nameditemlist">
    <w:name w:val="Named item list"/>
    <w:basedOn w:val="BodyText"/>
    <w:qFormat/>
    <w:rsid w:val="00285D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1155</Words>
  <Characters>7817</Characters>
  <Application>Microsoft Office Word</Application>
  <DocSecurity>0</DocSecurity>
  <Lines>274</Lines>
  <Paragraphs>117</Paragraphs>
  <ScaleCrop>false</ScaleCrop>
  <Company>Author-it Software Corporation Ltd.</Company>
  <LinksUpToDate>false</LinksUpToDate>
  <CharactersWithSpaces>8904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MSL976003 Evaluate and select appropriate test methods and/or procedures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2016-03-01T06:19:00Z</dcterms:created>
  <dcterms:modified xsi:type="dcterms:W3CDTF">2016-03-01T06:19:00Z</dcterms:modified>
</cp:coreProperties>
</file>