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FD7" w:rsidP="00FA6F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MSL976003 Evaluate and select appropriate test methods and/or procedures</w:t>
      </w:r>
      <w:r>
        <w:fldChar w:fldCharType="end"/>
      </w:r>
    </w:p>
    <w:p w:rsidR="00FA6FD7" w:rsidP="00FA6FD7">
      <w:pPr>
        <w:pStyle w:val="Version"/>
        <w:sectPr w:rsidSect="00B828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8B3" w:rsidP="00B828B3">
      <w:pPr>
        <w:pStyle w:val="SuperHeading"/>
      </w:pPr>
      <w:r w:rsidRPr="00B828B3">
        <w:t>Assessment Requirements for MSL976003 Evaluate and select appropriate test methods and/or procedures</w:t>
      </w:r>
    </w:p>
    <w:p w:rsidR="00000000" w:rsidRPr="00B828B3" w:rsidP="00B828B3">
      <w:pPr>
        <w:pStyle w:val="Heading1"/>
      </w:pPr>
      <w:bookmarkStart w:id="1" w:name="O_902062"/>
      <w:bookmarkEnd w:id="1"/>
      <w:r w:rsidRPr="00B828B3">
        <w:t>Modification History</w:t>
      </w:r>
    </w:p>
    <w:p w:rsidR="00000000" w:rsidRPr="00B828B3" w:rsidP="00B828B3">
      <w:pPr>
        <w:pStyle w:val="BodyText"/>
      </w:pPr>
      <w:r w:rsidRPr="00B828B3">
        <w:t xml:space="preserve">Release 1. Supersedes and is equivalent to MSL976003A Evaluate and select appropriate test methods and/or procedures  </w:t>
      </w:r>
    </w:p>
    <w:p w:rsidR="00000000" w:rsidRPr="00B828B3" w:rsidP="00B828B3">
      <w:pPr>
        <w:pStyle w:val="AllowPageBreak"/>
      </w:pPr>
    </w:p>
    <w:p w:rsidR="00000000" w:rsidRPr="00B828B3" w:rsidP="00B828B3">
      <w:pPr>
        <w:pStyle w:val="Heading1"/>
      </w:pPr>
      <w:bookmarkStart w:id="2" w:name="O_902065"/>
      <w:bookmarkEnd w:id="2"/>
      <w:r w:rsidRPr="00B828B3">
        <w:t>Performance Evidence</w:t>
      </w:r>
    </w:p>
    <w:p w:rsidR="00000000" w:rsidRPr="00B828B3" w:rsidP="00B828B3">
      <w:pPr>
        <w:pStyle w:val="BodyText"/>
      </w:pPr>
      <w:r w:rsidRPr="00B828B3">
        <w:t>Evidence of competence in this unit must satisfy all of the requirements of the elements and perfor</w:t>
      </w:r>
      <w:r w:rsidRPr="00B828B3">
        <w:t>mance criteria, and include demonstration of:</w:t>
      </w:r>
    </w:p>
    <w:p w:rsidR="00000000" w:rsidRPr="00B828B3" w:rsidP="00B828B3">
      <w:pPr>
        <w:pStyle w:val="ListBullet"/>
      </w:pPr>
      <w:r w:rsidRPr="00B828B3">
        <w:t>evaluating and selecting test methods and procedures on at least two (2) different occasions</w:t>
      </w:r>
    </w:p>
    <w:p w:rsidR="00000000" w:rsidRPr="00B828B3" w:rsidP="00B828B3">
      <w:pPr>
        <w:pStyle w:val="ListBullet"/>
      </w:pPr>
      <w:r w:rsidRPr="00B828B3">
        <w:t>appraising new and emerging technologies relevant to scope of laboratory operations and/or job role</w:t>
      </w:r>
    </w:p>
    <w:p w:rsidR="00000000" w:rsidRPr="00B828B3" w:rsidP="00B828B3">
      <w:pPr>
        <w:pStyle w:val="ListBullet"/>
      </w:pPr>
      <w:r w:rsidRPr="00B828B3">
        <w:t>identifying refe</w:t>
      </w:r>
      <w:r w:rsidRPr="00B828B3">
        <w:t>rence standards or standard operating procedures (SOPs) appropriate to testing requirements of the laboratory</w:t>
      </w:r>
    </w:p>
    <w:p w:rsidR="00000000" w:rsidRPr="00B828B3" w:rsidP="00B828B3">
      <w:pPr>
        <w:pStyle w:val="ListBullet"/>
      </w:pPr>
      <w:r w:rsidRPr="00B828B3">
        <w:t>identifying standards that support compliance with regulatory and licensing requirements</w:t>
      </w:r>
    </w:p>
    <w:p w:rsidR="00000000" w:rsidRPr="00B828B3" w:rsidP="00B828B3">
      <w:pPr>
        <w:pStyle w:val="ListBullet"/>
      </w:pPr>
      <w:r w:rsidRPr="00B828B3">
        <w:t>applying workplace procedures to select appropriate stand</w:t>
      </w:r>
      <w:r w:rsidRPr="00B828B3">
        <w:t xml:space="preserve">ards </w:t>
      </w:r>
    </w:p>
    <w:p w:rsidR="00000000" w:rsidRPr="00B828B3" w:rsidP="00B828B3">
      <w:pPr>
        <w:pStyle w:val="ListBullet"/>
      </w:pPr>
      <w:r w:rsidRPr="00B828B3">
        <w:t>estimating materials, personnel and possible training requirements</w:t>
      </w:r>
    </w:p>
    <w:p w:rsidR="00000000" w:rsidRPr="00B828B3" w:rsidP="00B828B3">
      <w:pPr>
        <w:pStyle w:val="ListBullet"/>
      </w:pPr>
      <w:r w:rsidRPr="00B828B3">
        <w:t>conducting tests to verify the performance of the method and procedure, standards and reference materials</w:t>
      </w:r>
    </w:p>
    <w:p w:rsidR="00000000" w:rsidRPr="00B828B3" w:rsidP="00B828B3">
      <w:pPr>
        <w:pStyle w:val="ListBullet"/>
      </w:pPr>
      <w:r w:rsidRPr="00B828B3">
        <w:t xml:space="preserve">using method performance measures, such as accuracy, precision, uncertainty, </w:t>
      </w:r>
      <w:r w:rsidRPr="00B828B3">
        <w:t xml:space="preserve">linearity, selectivity, range, limit of detection and matrix characteristics in method selection </w:t>
      </w:r>
    </w:p>
    <w:p w:rsidR="00000000" w:rsidRPr="00B828B3" w:rsidP="00B828B3">
      <w:pPr>
        <w:pStyle w:val="ListBullet"/>
      </w:pPr>
      <w:r w:rsidRPr="00B828B3">
        <w:t>clearly documenting method selection procedures</w:t>
      </w:r>
    </w:p>
    <w:p w:rsidR="00000000" w:rsidRPr="00B828B3" w:rsidP="00B828B3">
      <w:pPr>
        <w:pStyle w:val="ListBullet"/>
      </w:pPr>
      <w:r w:rsidRPr="00B828B3">
        <w:t>maintaining records of published methods</w:t>
      </w:r>
    </w:p>
    <w:p w:rsidR="00000000" w:rsidRPr="00B828B3" w:rsidP="00B828B3">
      <w:pPr>
        <w:pStyle w:val="ListBullet"/>
      </w:pPr>
      <w:r w:rsidRPr="00B828B3">
        <w:t>following workplace safety procedures and principles of good laborato</w:t>
      </w:r>
      <w:r w:rsidRPr="00B828B3">
        <w:t>ry practice (GLP).</w:t>
      </w:r>
    </w:p>
    <w:p w:rsidR="00000000" w:rsidRPr="00B828B3" w:rsidP="00B828B3">
      <w:pPr>
        <w:pStyle w:val="AllowPageBreak"/>
      </w:pPr>
    </w:p>
    <w:p w:rsidR="00000000" w:rsidRPr="00B828B3" w:rsidP="00B828B3">
      <w:pPr>
        <w:pStyle w:val="Heading1"/>
      </w:pPr>
      <w:bookmarkStart w:id="3" w:name="O_902064"/>
      <w:bookmarkEnd w:id="3"/>
      <w:r w:rsidRPr="00B828B3">
        <w:t>Knowledge Evidence</w:t>
      </w:r>
    </w:p>
    <w:p w:rsidR="00000000" w:rsidRPr="00B828B3" w:rsidP="00B828B3">
      <w:pPr>
        <w:pStyle w:val="BodyText"/>
      </w:pPr>
      <w:r w:rsidRPr="00B828B3">
        <w:t>Must provide evidence that demonstrates knowledge of:</w:t>
      </w:r>
    </w:p>
    <w:p w:rsidR="00000000" w:rsidRPr="00B828B3" w:rsidP="00B828B3">
      <w:pPr>
        <w:pStyle w:val="ListBullet"/>
      </w:pPr>
      <w:r w:rsidRPr="00B828B3">
        <w:t>principles, concepts and workplace and regulatory requirements related to method selection</w:t>
      </w:r>
    </w:p>
    <w:p w:rsidR="00000000" w:rsidRPr="00B828B3" w:rsidP="00B828B3">
      <w:pPr>
        <w:pStyle w:val="ListBullet"/>
      </w:pPr>
      <w:r w:rsidRPr="00B828B3">
        <w:t>regulatory and licensing requirements related to selected test methods</w:t>
      </w:r>
    </w:p>
    <w:p w:rsidR="00000000" w:rsidRPr="00B828B3" w:rsidP="00B828B3">
      <w:pPr>
        <w:pStyle w:val="ListBullet"/>
      </w:pPr>
      <w:r w:rsidRPr="00B828B3">
        <w:t>relative advantages and disadvantages of test methods for a range of testing situations</w:t>
      </w:r>
    </w:p>
    <w:p w:rsidR="00000000" w:rsidRPr="00B828B3" w:rsidP="00B828B3">
      <w:pPr>
        <w:pStyle w:val="ListBullet"/>
      </w:pPr>
      <w:r w:rsidRPr="00B828B3">
        <w:t>cost advantages and disadvantages of workplace test methods</w:t>
      </w:r>
    </w:p>
    <w:p w:rsidR="00000000" w:rsidRPr="00B828B3" w:rsidP="00B828B3">
      <w:pPr>
        <w:pStyle w:val="ListBullet"/>
      </w:pPr>
      <w:r w:rsidRPr="00B828B3">
        <w:t>scientific and technical principles u</w:t>
      </w:r>
      <w:r w:rsidRPr="00B828B3">
        <w:t>nderpinning test method and their application to selection of testing methods for different materials</w:t>
      </w:r>
    </w:p>
    <w:p w:rsidR="00000000" w:rsidRPr="00B828B3" w:rsidP="00B828B3">
      <w:pPr>
        <w:pStyle w:val="ListBullet"/>
      </w:pPr>
      <w:r w:rsidRPr="00B828B3">
        <w:t>calculation steps for data analysis and estimation of uncertainties for selected test methods</w:t>
      </w:r>
    </w:p>
    <w:p w:rsidR="00000000" w:rsidRPr="00B828B3" w:rsidP="00B828B3">
      <w:pPr>
        <w:pStyle w:val="ListBullet"/>
      </w:pPr>
      <w:r w:rsidRPr="00B828B3">
        <w:t>significance of normal, physiological or reference ranges</w:t>
      </w:r>
    </w:p>
    <w:p w:rsidR="00000000" w:rsidRPr="00B828B3" w:rsidP="00B828B3">
      <w:pPr>
        <w:pStyle w:val="ListBullet"/>
      </w:pPr>
      <w:r w:rsidRPr="00B828B3">
        <w:t>wo</w:t>
      </w:r>
      <w:r w:rsidRPr="00B828B3">
        <w:t>rkplace and legal requirements for traceability</w:t>
      </w:r>
    </w:p>
    <w:p w:rsidR="00000000" w:rsidRPr="00B828B3" w:rsidP="00B828B3">
      <w:pPr>
        <w:pStyle w:val="ListBullet"/>
      </w:pPr>
      <w:r w:rsidRPr="00B828B3">
        <w:t>workplace and regulatory requirements regarding recording and reporting of testing</w:t>
      </w:r>
    </w:p>
    <w:p w:rsidR="00000000" w:rsidRPr="00B828B3" w:rsidP="00B828B3">
      <w:pPr>
        <w:pStyle w:val="ListBullet"/>
      </w:pPr>
      <w:r w:rsidRPr="00B828B3">
        <w:t>relevant hazards, work health and safety (WHS) and environment requirements.</w:t>
      </w:r>
    </w:p>
    <w:p w:rsidR="00000000" w:rsidRPr="00B828B3" w:rsidP="00B828B3">
      <w:pPr>
        <w:pStyle w:val="AllowPageBreak"/>
      </w:pPr>
    </w:p>
    <w:p w:rsidR="00000000" w:rsidRPr="00B828B3" w:rsidP="00B828B3">
      <w:pPr>
        <w:pStyle w:val="Heading1"/>
      </w:pPr>
      <w:bookmarkStart w:id="4" w:name="O_902063"/>
      <w:bookmarkEnd w:id="4"/>
      <w:r w:rsidRPr="00B828B3">
        <w:t>Assessment Conditions</w:t>
      </w:r>
    </w:p>
    <w:p w:rsidR="00000000" w:rsidRPr="00B828B3" w:rsidP="00B828B3">
      <w:pPr>
        <w:pStyle w:val="ListBullet"/>
      </w:pPr>
      <w:r w:rsidRPr="00B828B3">
        <w:t>Judgment</w:t>
      </w:r>
      <w:r w:rsidRPr="00B828B3">
        <w:t xml:space="preserve"> of competence must be based on holistic assessment of the evidence. Assessment methods must confirm consistency of performance over time, rather than a single assessment event. </w:t>
      </w:r>
    </w:p>
    <w:p w:rsidR="00000000" w:rsidRPr="00B828B3" w:rsidP="00B828B3">
      <w:pPr>
        <w:pStyle w:val="ListBullet"/>
      </w:pPr>
      <w:r w:rsidRPr="00B828B3">
        <w:t>This unit of competency is to be assessed in the workplace or a simulated wor</w:t>
      </w:r>
      <w:r w:rsidRPr="00B828B3">
        <w:t>kplace environment. A simulated workplace environment must reflect realistic operational workplace conditions that cover all aspects of workplace performance, including the environment, task skills, task management skills, contingency management skills and</w:t>
      </w:r>
      <w:r w:rsidRPr="00B828B3">
        <w:t xml:space="preserve"> job role environment skills.  </w:t>
      </w:r>
    </w:p>
    <w:p w:rsidR="00000000" w:rsidRPr="00B828B3" w:rsidP="00B828B3">
      <w:pPr>
        <w:pStyle w:val="ListBullet"/>
      </w:pPr>
      <w:r w:rsidRPr="00B828B3">
        <w:t xml:space="preserve">Foundation skills are integral to competent performance of the unit and should not be assessed separately. </w:t>
      </w:r>
    </w:p>
    <w:p w:rsidR="00000000" w:rsidRPr="00B828B3" w:rsidP="00B828B3">
      <w:pPr>
        <w:pStyle w:val="ListBullet"/>
      </w:pPr>
      <w:r w:rsidRPr="00B828B3">
        <w:t>Assessment processes and techniques must be appropriate to the language, literacy and numeracy requirements of the w</w:t>
      </w:r>
      <w:r w:rsidRPr="00B828B3">
        <w:t>ork being performed and the needs of the candidate.</w:t>
      </w:r>
    </w:p>
    <w:p w:rsidR="00000000" w:rsidRPr="00B828B3" w:rsidP="00B828B3">
      <w:pPr>
        <w:pStyle w:val="ListBullet"/>
      </w:pPr>
      <w:r w:rsidRPr="00B828B3">
        <w:t>Knowledge evidence may be collected concurrently with performance evidence or through an independent process, such as workbooks, written assessments or interviews (provided a record is kept in each case).</w:t>
      </w:r>
    </w:p>
    <w:p w:rsidR="00000000" w:rsidRPr="00B828B3" w:rsidP="00B828B3">
      <w:pPr>
        <w:pStyle w:val="ListBullet"/>
      </w:pPr>
      <w:r w:rsidRPr="00B828B3">
        <w:t xml:space="preserve">This unit of competency may be assessed with: </w:t>
      </w:r>
    </w:p>
    <w:p w:rsidR="00000000" w:rsidRPr="00B828B3" w:rsidP="00B828B3">
      <w:pPr>
        <w:pStyle w:val="ListBullet2"/>
      </w:pPr>
      <w:r w:rsidRPr="00B828B3">
        <w:t>MSL925002 Analyse measurements and estimate uncertainties</w:t>
      </w:r>
    </w:p>
    <w:p w:rsidR="00000000" w:rsidRPr="00B828B3" w:rsidP="00B828B3">
      <w:pPr>
        <w:pStyle w:val="ListBullet2"/>
      </w:pPr>
      <w:r w:rsidRPr="00B828B3">
        <w:t>MSL916003 Supervise laboratory operations in work or functional area</w:t>
      </w:r>
    </w:p>
    <w:p w:rsidR="00000000" w:rsidRPr="00B828B3" w:rsidP="00B828B3">
      <w:pPr>
        <w:pStyle w:val="ListBullet"/>
      </w:pPr>
      <w:r w:rsidRPr="00B828B3">
        <w:t xml:space="preserve">Holistic assessment methods include: </w:t>
      </w:r>
    </w:p>
    <w:p w:rsidR="00000000" w:rsidRPr="00B828B3" w:rsidP="00B828B3">
      <w:pPr>
        <w:pStyle w:val="ListBullet2"/>
      </w:pPr>
      <w:r w:rsidRPr="00B828B3">
        <w:t>review of selection briefs and/or selection proficiency tests completed by candidate</w:t>
      </w:r>
    </w:p>
    <w:p w:rsidR="00000000" w:rsidRPr="00B828B3" w:rsidP="00B828B3">
      <w:pPr>
        <w:pStyle w:val="ListBullet2"/>
      </w:pPr>
      <w:r w:rsidRPr="00B828B3">
        <w:t>review of records completed by the candidate over a period of time to confirm consistency in method selection</w:t>
      </w:r>
    </w:p>
    <w:p w:rsidR="00000000" w:rsidRPr="00B828B3" w:rsidP="00B828B3">
      <w:pPr>
        <w:pStyle w:val="ListBullet2"/>
      </w:pPr>
      <w:r w:rsidRPr="00B828B3">
        <w:t>feedback from peers and supervisors about the candidate’s abi</w:t>
      </w:r>
      <w:r w:rsidRPr="00B828B3">
        <w:t>lity to evaluate and select appropriate test methods and/or procedures in accordance with relevant standards and/or workplace requirements</w:t>
      </w:r>
    </w:p>
    <w:p w:rsidR="00000000" w:rsidRPr="00B828B3" w:rsidP="00B828B3">
      <w:pPr>
        <w:pStyle w:val="ListBullet2"/>
      </w:pPr>
      <w:r w:rsidRPr="00B828B3">
        <w:t>oral or written questioning to establish basis of selection of test methods and/or procedures.</w:t>
      </w:r>
    </w:p>
    <w:p w:rsidR="00000000" w:rsidRPr="00B828B3" w:rsidP="00B828B3">
      <w:pPr>
        <w:pStyle w:val="ListBullet"/>
      </w:pPr>
      <w:r w:rsidRPr="00B828B3">
        <w:t>Access is required to</w:t>
      </w:r>
      <w:r w:rsidRPr="00B828B3">
        <w:t xml:space="preserve"> instruments, equipment, materials, workplace documentation, procedures and specifications associated with this unit, including, but not limited to:</w:t>
      </w:r>
    </w:p>
    <w:p w:rsidR="00000000" w:rsidRPr="00B828B3" w:rsidP="00B828B3">
      <w:pPr>
        <w:pStyle w:val="ListBullet2"/>
      </w:pPr>
      <w:r w:rsidRPr="00B828B3">
        <w:t>a standard laboratory equipped with appropriate equipment, analytical instruments and reagents, SOPs and t</w:t>
      </w:r>
      <w:r w:rsidRPr="00B828B3">
        <w:t>est methods</w:t>
      </w:r>
    </w:p>
    <w:p w:rsidR="00000000" w:rsidRPr="00B828B3" w:rsidP="00B828B3">
      <w:pPr>
        <w:pStyle w:val="ListBullet2"/>
      </w:pPr>
      <w:r w:rsidRPr="00B828B3">
        <w:t>Australian and international regulatory standards relevant to scope of laboratory operations.</w:t>
      </w:r>
    </w:p>
    <w:p w:rsidR="00000000" w:rsidRPr="00B828B3" w:rsidP="00B828B3">
      <w:pPr>
        <w:pStyle w:val="ListBullet"/>
      </w:pPr>
      <w:r w:rsidRPr="00B828B3">
        <w:t xml:space="preserve">Assessors must satisfy the assessor competency requirements that are in place at the time of the assessment as set by the VET regulator.  </w:t>
      </w:r>
    </w:p>
    <w:p w:rsidR="00000000" w:rsidRPr="00B828B3" w:rsidP="00B828B3">
      <w:pPr>
        <w:pStyle w:val="ListBullet"/>
      </w:pPr>
      <w:r w:rsidRPr="00B828B3">
        <w:t>The assess</w:t>
      </w:r>
      <w:r w:rsidRPr="00B828B3">
        <w:t>or must demonstrate both technical competence and currency.</w:t>
      </w:r>
    </w:p>
    <w:p w:rsidR="00000000" w:rsidRPr="00B828B3" w:rsidP="00B828B3">
      <w:pPr>
        <w:pStyle w:val="ListBullet"/>
      </w:pPr>
      <w:r w:rsidRPr="00B828B3">
        <w:t>Technical competence can be demonstrated through:</w:t>
      </w:r>
    </w:p>
    <w:p w:rsidR="00000000" w:rsidRPr="00B828B3" w:rsidP="00B828B3">
      <w:pPr>
        <w:pStyle w:val="ListBullet2"/>
      </w:pPr>
      <w:r w:rsidRPr="00B828B3">
        <w:t>relevant VET or other qualification/Statement of Attainment AND/OR</w:t>
      </w:r>
    </w:p>
    <w:p w:rsidR="00000000" w:rsidRPr="00B828B3" w:rsidP="00B828B3">
      <w:pPr>
        <w:pStyle w:val="ListBullet2"/>
      </w:pPr>
      <w:r w:rsidRPr="00B828B3">
        <w:t>relevant workplace experience.</w:t>
      </w:r>
    </w:p>
    <w:p w:rsidR="00000000" w:rsidRPr="00B828B3" w:rsidP="00B828B3">
      <w:pPr>
        <w:pStyle w:val="ListBullet"/>
      </w:pPr>
      <w:r w:rsidRPr="00B828B3">
        <w:t>Currency can be demonstrated through:</w:t>
      </w:r>
    </w:p>
    <w:p w:rsidR="00000000" w:rsidRPr="00B828B3" w:rsidP="00B828B3">
      <w:pPr>
        <w:pStyle w:val="ListBullet2"/>
      </w:pPr>
      <w:r w:rsidRPr="00B828B3">
        <w:t>performing the competency being assessed as part of current employment OR</w:t>
      </w:r>
    </w:p>
    <w:p w:rsidR="00000000" w:rsidRPr="00B828B3" w:rsidP="00B828B3">
      <w:pPr>
        <w:pStyle w:val="ListBullet2"/>
      </w:pPr>
      <w:r w:rsidRPr="00B828B3">
        <w:t>having consulted with a laboratory about performing the competency being assessed within the last twelve months.</w:t>
      </w:r>
    </w:p>
    <w:p w:rsidR="00000000" w:rsidRPr="00B828B3" w:rsidP="00B828B3">
      <w:pPr>
        <w:pStyle w:val="AllowPageBreak"/>
      </w:pPr>
    </w:p>
    <w:p w:rsidR="00000000" w:rsidRPr="00B828B3" w:rsidP="00B828B3">
      <w:pPr>
        <w:pStyle w:val="Heading1"/>
      </w:pPr>
      <w:bookmarkStart w:id="5" w:name="O_902061"/>
      <w:bookmarkEnd w:id="5"/>
      <w:r w:rsidRPr="00B828B3">
        <w:t>Links</w:t>
      </w:r>
    </w:p>
    <w:p w:rsidR="00000000" w:rsidRPr="00B828B3" w:rsidP="00B828B3">
      <w:pPr>
        <w:pStyle w:val="BodyText"/>
      </w:pPr>
      <w:r w:rsidRPr="00B828B3">
        <w:t>MSA Training Package Implementation Guides - h</w:t>
      </w:r>
      <w:r w:rsidRPr="00B828B3">
        <w:t>ttp://mskills.org.au/training-packages/info/</w:t>
      </w:r>
    </w:p>
    <w:p w:rsidR="00000000" w:rsidRPr="00B828B3" w:rsidP="00B828B3"/>
    <w:sectPr w:rsidSect="00B828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8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8B3" w:rsidRPr="00FA6FD7" w:rsidP="00FA6F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8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FD7" w:rsidP="00B828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6FD7" w:rsidP="00B828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A6FD7" w:rsidP="00B828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8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8B3" w:rsidRPr="00FA6FD7" w:rsidP="00FA6FD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8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FD7" w:rsidRPr="002D2AF8" w:rsidP="00B828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MSL976003 Evaluate and select appropriate test methods and/or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FA6FD7" w:rsidP="00B828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3C2C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8C6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18EB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8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8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8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8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8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8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8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8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8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8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8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8B3"/>
  </w:style>
  <w:style w:type="character" w:customStyle="1" w:styleId="Heading1Char">
    <w:name w:val="Heading 1 Char"/>
    <w:basedOn w:val="DefaultParagraphFont"/>
    <w:link w:val="Heading1"/>
    <w:rsid w:val="00B828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8B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8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28B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28B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28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8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28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8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8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8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8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8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8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8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8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8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8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8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8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8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8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8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8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28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28B3"/>
    <w:rPr>
      <w:b/>
      <w:spacing w:val="0"/>
    </w:rPr>
  </w:style>
  <w:style w:type="paragraph" w:customStyle="1" w:styleId="SuperTitle">
    <w:name w:val="SuperTitle"/>
    <w:basedOn w:val="Title"/>
    <w:rsid w:val="00B828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8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8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28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8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8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8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8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8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8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8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8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28B3"/>
    <w:rPr>
      <w:i/>
    </w:rPr>
  </w:style>
  <w:style w:type="paragraph" w:styleId="Caption">
    <w:name w:val="caption"/>
    <w:basedOn w:val="BodyText"/>
    <w:next w:val="Normal"/>
    <w:qFormat/>
    <w:rsid w:val="00B828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8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8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8B3"/>
  </w:style>
  <w:style w:type="paragraph" w:styleId="TableofFigures">
    <w:name w:val="table of figures"/>
    <w:basedOn w:val="Normal"/>
    <w:next w:val="Normal"/>
    <w:semiHidden/>
    <w:rsid w:val="00B828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8B3"/>
    <w:pPr>
      <w:numPr>
        <w:numId w:val="11"/>
      </w:numPr>
    </w:pPr>
  </w:style>
  <w:style w:type="character" w:customStyle="1" w:styleId="WingdingSymbols">
    <w:name w:val="Wingding Symbols"/>
    <w:rsid w:val="00B828B3"/>
    <w:rPr>
      <w:rFonts w:ascii="Wingdings" w:hAnsi="Wingdings"/>
    </w:rPr>
  </w:style>
  <w:style w:type="paragraph" w:customStyle="1" w:styleId="TableHeading">
    <w:name w:val="Table Heading"/>
    <w:basedOn w:val="HeadingBase"/>
    <w:rsid w:val="00B828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8B3"/>
    <w:rPr>
      <w:color w:val="0033CC"/>
      <w:u w:val="none"/>
    </w:rPr>
  </w:style>
  <w:style w:type="paragraph" w:customStyle="1" w:styleId="BodyTextRight">
    <w:name w:val="Body Text Right"/>
    <w:basedOn w:val="BodyText"/>
    <w:rsid w:val="00B828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8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8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8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8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8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8B3"/>
    <w:rPr>
      <w:sz w:val="32"/>
    </w:rPr>
  </w:style>
  <w:style w:type="paragraph" w:customStyle="1" w:styleId="HeadingProcedure">
    <w:name w:val="Heading Procedure"/>
    <w:basedOn w:val="HeadingBase"/>
    <w:next w:val="Normal"/>
    <w:rsid w:val="00B828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8B3"/>
    <w:pPr>
      <w:spacing w:before="60" w:after="60"/>
    </w:pPr>
  </w:style>
  <w:style w:type="paragraph" w:styleId="ListContinue">
    <w:name w:val="List Continue"/>
    <w:basedOn w:val="List"/>
    <w:rsid w:val="00B828B3"/>
    <w:pPr>
      <w:ind w:firstLine="0"/>
    </w:pPr>
  </w:style>
  <w:style w:type="paragraph" w:customStyle="1" w:styleId="ListNote">
    <w:name w:val="List Note"/>
    <w:basedOn w:val="List"/>
    <w:rsid w:val="00B828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8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8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8B3"/>
    <w:rPr>
      <w:rFonts w:ascii="Courier New" w:hAnsi="Courier New"/>
    </w:rPr>
  </w:style>
  <w:style w:type="paragraph" w:customStyle="1" w:styleId="NoteBullet">
    <w:name w:val="Note Bullet"/>
    <w:basedOn w:val="Note"/>
    <w:rsid w:val="00B828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8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8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8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8B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28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8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8B3"/>
    <w:rPr>
      <w:b/>
      <w:smallCaps/>
    </w:rPr>
  </w:style>
  <w:style w:type="paragraph" w:customStyle="1" w:styleId="TableListNumber">
    <w:name w:val="Table List Number"/>
    <w:basedOn w:val="ListNumber"/>
    <w:rsid w:val="00B828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8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8B3"/>
    <w:pPr>
      <w:numPr>
        <w:numId w:val="9"/>
      </w:numPr>
    </w:pPr>
  </w:style>
  <w:style w:type="paragraph" w:customStyle="1" w:styleId="ListAlpha2">
    <w:name w:val="List Alpha 2"/>
    <w:basedOn w:val="List2"/>
    <w:rsid w:val="00B828B3"/>
    <w:pPr>
      <w:numPr>
        <w:numId w:val="8"/>
      </w:numPr>
    </w:pPr>
  </w:style>
  <w:style w:type="paragraph" w:styleId="List2">
    <w:name w:val="List 2"/>
    <w:basedOn w:val="BodyText"/>
    <w:rsid w:val="00B828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8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8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8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8B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8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28B3"/>
    <w:pPr>
      <w:numPr>
        <w:numId w:val="4"/>
      </w:numPr>
    </w:pPr>
  </w:style>
  <w:style w:type="paragraph" w:styleId="ListContinue2">
    <w:name w:val="List Continue 2"/>
    <w:basedOn w:val="List2"/>
    <w:rsid w:val="00B828B3"/>
    <w:pPr>
      <w:ind w:firstLine="0"/>
    </w:pPr>
  </w:style>
  <w:style w:type="paragraph" w:styleId="ListContinue3">
    <w:name w:val="List Continue 3"/>
    <w:basedOn w:val="List3"/>
    <w:rsid w:val="00B828B3"/>
    <w:pPr>
      <w:ind w:left="1021" w:firstLine="0"/>
    </w:pPr>
  </w:style>
  <w:style w:type="paragraph" w:styleId="ListContinue4">
    <w:name w:val="List Continue 4"/>
    <w:basedOn w:val="List4"/>
    <w:rsid w:val="00B828B3"/>
    <w:pPr>
      <w:ind w:firstLine="0"/>
    </w:pPr>
  </w:style>
  <w:style w:type="paragraph" w:styleId="ListContinue5">
    <w:name w:val="List Continue 5"/>
    <w:basedOn w:val="List5"/>
    <w:rsid w:val="00B828B3"/>
    <w:pPr>
      <w:ind w:firstLine="0"/>
    </w:pPr>
  </w:style>
  <w:style w:type="paragraph" w:styleId="ListNumber3">
    <w:name w:val="List Number 3"/>
    <w:basedOn w:val="List3"/>
    <w:rsid w:val="00B828B3"/>
    <w:pPr>
      <w:numPr>
        <w:numId w:val="5"/>
      </w:numPr>
    </w:pPr>
  </w:style>
  <w:style w:type="paragraph" w:styleId="ListNumber4">
    <w:name w:val="List Number 4"/>
    <w:basedOn w:val="List4"/>
    <w:rsid w:val="00B828B3"/>
    <w:pPr>
      <w:numPr>
        <w:numId w:val="6"/>
      </w:numPr>
    </w:pPr>
  </w:style>
  <w:style w:type="paragraph" w:styleId="ListNumber5">
    <w:name w:val="List Number 5"/>
    <w:basedOn w:val="List5"/>
    <w:rsid w:val="00B828B3"/>
    <w:pPr>
      <w:numPr>
        <w:numId w:val="7"/>
      </w:numPr>
    </w:pPr>
  </w:style>
  <w:style w:type="paragraph" w:styleId="BlockText">
    <w:name w:val="Block Text"/>
    <w:basedOn w:val="Normal"/>
    <w:rsid w:val="00B828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8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8B3"/>
    <w:rPr>
      <w:sz w:val="16"/>
      <w:vertAlign w:val="superscript"/>
    </w:rPr>
  </w:style>
  <w:style w:type="character" w:customStyle="1" w:styleId="Symbols">
    <w:name w:val="Symbols"/>
    <w:basedOn w:val="DefaultParagraphFont"/>
    <w:rsid w:val="00B828B3"/>
    <w:rPr>
      <w:rFonts w:ascii="Symbol" w:hAnsi="Symbol"/>
    </w:rPr>
  </w:style>
  <w:style w:type="character" w:customStyle="1" w:styleId="MenuOptions">
    <w:name w:val="Menu Options"/>
    <w:basedOn w:val="DefaultParagraphFont"/>
    <w:rsid w:val="00B828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8B3"/>
    <w:rPr>
      <w:b/>
    </w:rPr>
  </w:style>
  <w:style w:type="character" w:customStyle="1" w:styleId="Underlined">
    <w:name w:val="Underlined"/>
    <w:basedOn w:val="DefaultParagraphFont"/>
    <w:rsid w:val="00B828B3"/>
    <w:rPr>
      <w:u w:val="single"/>
    </w:rPr>
  </w:style>
  <w:style w:type="paragraph" w:customStyle="1" w:styleId="TableBodyTextRight">
    <w:name w:val="Table Body Text Right"/>
    <w:basedOn w:val="TableBodyText"/>
    <w:rsid w:val="00B828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8B3"/>
    <w:rPr>
      <w:sz w:val="18"/>
    </w:rPr>
  </w:style>
  <w:style w:type="paragraph" w:customStyle="1" w:styleId="BodySmallRight">
    <w:name w:val="Body Small Right"/>
    <w:basedOn w:val="BodyTextRight"/>
    <w:rsid w:val="00B828B3"/>
    <w:rPr>
      <w:sz w:val="18"/>
      <w:szCs w:val="18"/>
    </w:rPr>
  </w:style>
  <w:style w:type="paragraph" w:customStyle="1" w:styleId="MarginEdition">
    <w:name w:val="Margin Edition"/>
    <w:basedOn w:val="MarginNote"/>
    <w:rsid w:val="00B828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8B3"/>
    <w:rPr>
      <w:sz w:val="2"/>
      <w:szCs w:val="2"/>
    </w:rPr>
  </w:style>
  <w:style w:type="character" w:customStyle="1" w:styleId="Small">
    <w:name w:val="Small"/>
    <w:basedOn w:val="DefaultParagraphFont"/>
    <w:rsid w:val="00B828B3"/>
    <w:rPr>
      <w:sz w:val="16"/>
    </w:rPr>
  </w:style>
  <w:style w:type="paragraph" w:customStyle="1" w:styleId="WideTable">
    <w:name w:val="Wide Table"/>
    <w:basedOn w:val="Normal"/>
    <w:rsid w:val="00B828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8B3"/>
  </w:style>
  <w:style w:type="paragraph" w:styleId="Quote">
    <w:name w:val="Quote"/>
    <w:basedOn w:val="Heading1"/>
    <w:link w:val="QuoteChar"/>
    <w:qFormat/>
    <w:rsid w:val="00B828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8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8B3"/>
    <w:pPr>
      <w:pageBreakBefore/>
    </w:pPr>
  </w:style>
  <w:style w:type="paragraph" w:customStyle="1" w:styleId="Border">
    <w:name w:val="Border"/>
    <w:basedOn w:val="Normal"/>
    <w:qFormat/>
    <w:rsid w:val="00B828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8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8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8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8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8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8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8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8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8B3"/>
    <w:rPr>
      <w:u w:val="single"/>
    </w:rPr>
  </w:style>
  <w:style w:type="character" w:customStyle="1" w:styleId="BoldandItalics">
    <w:name w:val="Bold and Italics"/>
    <w:qFormat/>
    <w:rsid w:val="00B828B3"/>
    <w:rPr>
      <w:b/>
      <w:i/>
      <w:u w:val="none"/>
    </w:rPr>
  </w:style>
  <w:style w:type="paragraph" w:styleId="BalloonText">
    <w:name w:val="Balloon Text"/>
    <w:basedOn w:val="Normal"/>
    <w:link w:val="BalloonTextChar"/>
    <w:rsid w:val="00B828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8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8B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8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8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8B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4564</Characters>
  <Application>Microsoft Office Word</Application>
  <DocSecurity>0</DocSecurity>
  <Lines>93</Lines>
  <Paragraphs>57</Paragraphs>
  <ScaleCrop>false</ScaleCrop>
  <Company>Author-it Software Corporation Ltd.</Company>
  <LinksUpToDate>false</LinksUpToDate>
  <CharactersWithSpaces>5249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MSL976003 Evaluate and select appropriate test methods and/or procedures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2016-03-01T06:19:00Z</dcterms:created>
  <dcterms:modified xsi:type="dcterms:W3CDTF">2016-03-01T06:19:00Z</dcterms:modified>
</cp:coreProperties>
</file>