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367" w:rsidP="00EE3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MSL976002 Prepare plans and quality assurance procedures for environmental field activities</w:t>
      </w:r>
      <w:r>
        <w:fldChar w:fldCharType="end"/>
      </w:r>
    </w:p>
    <w:p w:rsidR="00EE3367" w:rsidP="00EE3367">
      <w:pPr>
        <w:pStyle w:val="Version"/>
        <w:sectPr w:rsidSect="00D85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ACC" w:rsidP="00D85ACC">
      <w:pPr>
        <w:pStyle w:val="SuperHeading"/>
      </w:pPr>
      <w:r w:rsidRPr="00D85ACC">
        <w:t>MSL976002 Prepare plans and quality assurance procedures for environmental field activities</w:t>
      </w:r>
    </w:p>
    <w:p w:rsidR="00000000" w:rsidRPr="00D85ACC" w:rsidP="00D85ACC">
      <w:pPr>
        <w:pStyle w:val="Heading1"/>
      </w:pPr>
      <w:bookmarkStart w:id="1" w:name="O_902047"/>
      <w:bookmarkEnd w:id="1"/>
      <w:r w:rsidRPr="00D85ACC">
        <w:t>Modification History</w:t>
      </w:r>
    </w:p>
    <w:p w:rsidR="00000000" w:rsidRPr="00D85ACC" w:rsidP="00D85ACC">
      <w:pPr>
        <w:pStyle w:val="BodyText"/>
      </w:pPr>
      <w:r w:rsidRPr="00D85ACC">
        <w:t>Release 1. Supersedes and is equivalent to MSL976002A Prepare plans and quality assurance procedures for environmental field activities</w:t>
      </w: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2" w:name="O_902055"/>
      <w:bookmarkEnd w:id="2"/>
      <w:r w:rsidRPr="00D85ACC">
        <w:t>Application</w:t>
      </w:r>
    </w:p>
    <w:p w:rsidR="00000000" w:rsidRPr="00D85ACC" w:rsidP="00D85ACC">
      <w:pPr>
        <w:pStyle w:val="BodyText"/>
      </w:pPr>
      <w:r w:rsidRPr="00D85ACC">
        <w:t xml:space="preserve">This unit of competency covers the ability to use a systematic planning process to develop </w:t>
      </w:r>
      <w:r w:rsidRPr="00D85ACC">
        <w:t>plans and quality assurance procedures covering multiple environmental field monitoring or survey activities for a wide range of environmental systems. The unit covers both defining the purpose of the environmental field activities and establishing their o</w:t>
      </w:r>
      <w:r w:rsidRPr="00D85ACC">
        <w:t>verall requirements. These requirements will involve the collection of appropriate data, the monitoring/survey methodologies to be used, and the design and documentation of a final overall implementation plan that includes budget, training and resource req</w:t>
      </w:r>
      <w:r w:rsidRPr="00D85ACC">
        <w:t>uirements. This unit of competency does not cover the development of monitoring or survey protocols.</w:t>
      </w:r>
    </w:p>
    <w:p w:rsidR="00000000" w:rsidRPr="00D85ACC" w:rsidP="00D85ACC">
      <w:pPr>
        <w:pStyle w:val="BodyText"/>
      </w:pPr>
    </w:p>
    <w:p w:rsidR="00000000" w:rsidRPr="00D85ACC" w:rsidP="00D85ACC">
      <w:pPr>
        <w:pStyle w:val="BodyText"/>
      </w:pPr>
      <w:r w:rsidRPr="00D85ACC">
        <w:t>This unit of competency is applicable to laboratory supervisors and managers working in the environmental industry sector. All operations must comply with</w:t>
      </w:r>
      <w:r w:rsidRPr="00D85ACC">
        <w:t xml:space="preserve"> relevant standards, appropriate procedures and/or workplace requirements.</w:t>
      </w:r>
    </w:p>
    <w:p w:rsidR="00000000" w:rsidRPr="00D85ACC" w:rsidP="00D85ACC">
      <w:pPr>
        <w:pStyle w:val="BodyText"/>
      </w:pPr>
    </w:p>
    <w:p w:rsidR="00000000" w:rsidRPr="00D85ACC" w:rsidP="00D85ACC">
      <w:pPr>
        <w:pStyle w:val="BodyText"/>
      </w:pPr>
      <w:r w:rsidRPr="00D85ACC">
        <w:t>While no specific licensing or certification requirements apply to this unit at the time of publication, laboratory operations are governed by relevant legislation, regulations and</w:t>
      </w:r>
      <w:r w:rsidRPr="00D85ACC">
        <w:t>/or external accreditation requirements. Local requirements should be checked.</w:t>
      </w: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3" w:name="O_902054"/>
      <w:bookmarkEnd w:id="3"/>
      <w:r w:rsidRPr="00D85AC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MSL975011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Design and supervise complex environmental field surveys</w:t>
            </w:r>
          </w:p>
        </w:tc>
      </w:tr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MSL974007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Undertake environmental field-based monitoring</w:t>
            </w:r>
          </w:p>
        </w:tc>
      </w:tr>
    </w:tbl>
    <w:p w:rsidR="00000000" w:rsidRPr="00D85ACC" w:rsidP="00D85ACC">
      <w:pPr>
        <w:pStyle w:val="BodyText"/>
      </w:pP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4" w:name="O_902053"/>
      <w:bookmarkEnd w:id="4"/>
      <w:r w:rsidRPr="00D85ACC">
        <w:t>Competency Field</w:t>
      </w:r>
    </w:p>
    <w:p w:rsidR="00000000" w:rsidRPr="00D85ACC" w:rsidP="00D85ACC">
      <w:pPr>
        <w:pStyle w:val="BodyText"/>
      </w:pPr>
      <w:r w:rsidRPr="00D85ACC">
        <w:t>Testing</w:t>
      </w: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5" w:name="O_902052"/>
      <w:bookmarkEnd w:id="5"/>
      <w:r w:rsidRPr="00D85ACC">
        <w:t>Unit Sector</w:t>
      </w:r>
    </w:p>
    <w:p w:rsidR="00000000" w:rsidRPr="00D85ACC" w:rsidP="00D85ACC">
      <w:pPr>
        <w:pStyle w:val="Heading1"/>
      </w:pPr>
      <w:bookmarkStart w:id="6" w:name="O_902051"/>
      <w:bookmarkEnd w:id="6"/>
      <w:r w:rsidRPr="00D85A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Performance criteria describe the performance needed to demonstrate achievement of the element.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>Establish the overall requirements of the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Identify key stakeholders along with their potential interests, sensitivities, roles and responsibilities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Clarify the purpose and general objectives of the field activities with stakeholders and the level/detail of information required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Identify and accurately interpret all statutory requirements that apply to the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Identify and int</w:t>
            </w:r>
            <w:r w:rsidRPr="00D85ACC">
              <w:t>erpret all existing workplace requirements associated with field monitoring and/or survey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Analyse drivers and constraints that may influence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Refine and document the detailed objectives of the field activities with senior management and key stakeholders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>Scope all requirements to collect appropriate data under field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 xml:space="preserve">Identify the type, quantity and quality of data needed </w:t>
            </w:r>
            <w:r w:rsidRPr="00D85ACC">
              <w:t>to meet the defined objectives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Identify sites or areas and resources required for all planned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Define data quality procedures that must be incorporated in all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Identify risks, environmental and safety issues associated with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Inspect all sites or areas and assess them against defined requirements and any standards that apply to the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Refine and document all requirements</w:t>
            </w:r>
            <w:r w:rsidRPr="00D85ACC">
              <w:t xml:space="preserve"> necessary to collect appropriate field data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>Select and adapt field protocols covering the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Identify field protocols that may be suitable for the defined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Review and select the most appropriate field protocol for the defined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Develop and document detailed methodologies, risk management plans and general time schedules covering all the planned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>Design and document a detailed implementation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Define all staff tasks, roles and responsibilities and the overall staff work program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Identify and list all resources needed to undertake all planned field activities and associated p</w:t>
            </w:r>
            <w:r w:rsidRPr="00D85ACC">
              <w:t>re- and post-field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Design and document an overall implementation plan covering all workplace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 xml:space="preserve">Meet with all staff involved and clearly outline the objectives, field methodologies and data quality procedures covered </w:t>
            </w:r>
            <w:r w:rsidRPr="00D85ACC">
              <w:t>in the implementation plan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>Prepare a financial budget and staff training and work programs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Develop a detailed budget, including contingencies covering all planned field activities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Develop detailed staff work programs for individual field activities in the context of the implementation plan</w:t>
            </w:r>
          </w:p>
        </w:tc>
      </w:tr>
      <w:tr w:rsidTr="00D85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 xml:space="preserve">Identify competencies required to undertake all field activities and, if appropriate, develop appropriate training programs for all staff </w:t>
            </w:r>
            <w:r w:rsidRPr="00D85ACC">
              <w:t>involved in field activities</w:t>
            </w:r>
          </w:p>
        </w:tc>
      </w:tr>
    </w:tbl>
    <w:p w:rsidR="00000000" w:rsidRPr="00D85ACC" w:rsidP="00D85ACC">
      <w:pPr>
        <w:pStyle w:val="BodyText"/>
      </w:pP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7" w:name="O_902050"/>
      <w:bookmarkEnd w:id="7"/>
      <w:r w:rsidRPr="00D85ACC">
        <w:t>Foundation Skills</w:t>
      </w:r>
    </w:p>
    <w:p w:rsidR="00000000" w:rsidRPr="00D85ACC" w:rsidP="00D85ACC">
      <w:pPr>
        <w:pStyle w:val="BodyText"/>
      </w:pPr>
      <w:r w:rsidRPr="00D85ACC">
        <w:t>This section describes those language, literacy, numeracy and employment skills that are essential to performance.</w:t>
      </w:r>
    </w:p>
    <w:p w:rsidR="00000000" w:rsidRPr="00D85ACC" w:rsidP="00D85ACC">
      <w:pPr>
        <w:pStyle w:val="BodyText"/>
      </w:pPr>
    </w:p>
    <w:p w:rsidR="00000000" w:rsidRPr="00D85ACC" w:rsidP="00D85ACC">
      <w:pPr>
        <w:pStyle w:val="BodyText"/>
      </w:pPr>
      <w:r w:rsidRPr="00D85ACC">
        <w:t>Foundation skills essential to performance are explicit in the performance criteria of this unit of competency.</w:t>
      </w: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8" w:name="O_902049"/>
      <w:bookmarkEnd w:id="8"/>
      <w:r w:rsidRPr="00D85AC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t>This field allows for different work environments and conditions that may affect performance. Essential ope</w:t>
            </w:r>
            <w:r w:rsidRPr="00D85AC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Standards, code</w:t>
            </w:r>
            <w:r w:rsidRPr="00D85ACC">
              <w:t>s, procedures and/or workplace requirements include the latest version of one or more of:</w:t>
            </w:r>
          </w:p>
          <w:p w:rsidR="00000000" w:rsidRPr="00D85ACC" w:rsidP="00D85ACC">
            <w:pPr>
              <w:pStyle w:val="ListBullet"/>
            </w:pPr>
            <w:r w:rsidRPr="00D85ACC">
              <w:t>Australian and international standards, guidelines and codes covering labelling of workplace substances; storage, handling and transport of dangerous goods; and envi</w:t>
            </w:r>
            <w:r w:rsidRPr="00D85ACC">
              <w:t>ronmental management</w:t>
            </w:r>
          </w:p>
          <w:p w:rsidR="00000000" w:rsidRPr="00D85ACC" w:rsidP="00D85ACC">
            <w:pPr>
              <w:pStyle w:val="ListBullet"/>
            </w:pPr>
            <w:r w:rsidRPr="00D85ACC">
              <w:t>national work health and safety (WHS) standards and codes of practice, and occupational protective equipment</w:t>
            </w:r>
          </w:p>
          <w:p w:rsidR="00000000" w:rsidRPr="00D85ACC" w:rsidP="00D85ACC">
            <w:pPr>
              <w:pStyle w:val="ListBullet"/>
            </w:pPr>
            <w:r w:rsidRPr="00D85ACC">
              <w:t>legislation, regulations and government policy covering environmental management, sustainable development and impact assessmen</w:t>
            </w:r>
            <w:r w:rsidRPr="00D85ACC">
              <w:t>t, and environmental protection measures</w:t>
            </w:r>
          </w:p>
          <w:p w:rsidR="00000000" w:rsidRPr="00D85ACC" w:rsidP="00D85ACC">
            <w:pPr>
              <w:pStyle w:val="ListBullet"/>
            </w:pPr>
            <w:r w:rsidRPr="00D85ACC">
              <w:t>industry-specific codes, regulations and guidelines, such as (captured) animal welfare legislation, animal care and ethics regulations and codes of practice, and Australian Quarantine and Inspection Service (AQIS) E</w:t>
            </w:r>
            <w:r w:rsidRPr="00D85ACC">
              <w:t>xport Control (Orders) Regulations and Import Guidelines</w:t>
            </w:r>
          </w:p>
          <w:p w:rsidR="00000000" w:rsidRPr="00D85ACC" w:rsidP="00D85ACC">
            <w:pPr>
              <w:pStyle w:val="ListBullet"/>
            </w:pPr>
            <w:r w:rsidRPr="00D85ACC">
              <w:t xml:space="preserve">standard methods for conducting field monitoring and surveys, specific environmental standards, survey plans, site-specific requirements, stakeholder consultation protocols, permits for access to land (e.g. Aboriginal reserves), permits and/or licences to </w:t>
            </w:r>
            <w:r w:rsidRPr="00D85ACC">
              <w:t>undertake specific field activities (e.g. animal trapping), and wildlife capture and handling methods</w:t>
            </w:r>
          </w:p>
          <w:p w:rsidR="00000000" w:rsidRPr="00D85ACC" w:rsidP="00D85ACC">
            <w:pPr>
              <w:pStyle w:val="ListBullet"/>
            </w:pPr>
            <w:r w:rsidRPr="00D85ACC">
              <w:t>workplace documents, such as ethics committee approval, standard operating procedures (SOPs), data quality procedures, equipment manuals and warranties, s</w:t>
            </w:r>
            <w:r w:rsidRPr="00D85ACC">
              <w:t>upplier catalogue and handbooks, field instrument operating instructions, calibration and maintenance schedules, instrument fault-finding procedures, general maintenance and repair procedures, material safety data sheets (MSDS) and safety procedures, safet</w:t>
            </w:r>
            <w:r w:rsidRPr="00D85ACC">
              <w:t>y and accident/injury/emergency plans, survey/laboratory schedules, workplace recording and reporting procedures, and waste minimisation and safe disposal procedures</w:t>
            </w:r>
          </w:p>
          <w:p w:rsidR="00000000" w:rsidRPr="00D85ACC" w:rsidP="00D85ACC">
            <w:pPr>
              <w:pStyle w:val="ListBullet"/>
            </w:pPr>
            <w:r w:rsidRPr="00D85ACC">
              <w:t>field sampling plans, field monitoring or survey plans, and industry-based sampling and/or</w:t>
            </w:r>
            <w:r w:rsidRPr="00D85ACC">
              <w:t xml:space="preserve"> monitoring protocols</w:t>
            </w:r>
          </w:p>
          <w:p w:rsidR="00000000" w:rsidRPr="00D85ACC" w:rsidP="00D85ACC">
            <w:pPr>
              <w:pStyle w:val="ListBullet"/>
            </w:pPr>
            <w:r w:rsidRPr="00D85ACC">
              <w:t>field test procedures (validated and authorised)</w:t>
            </w:r>
          </w:p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 xml:space="preserve">Environmental field activities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Environmental field activities include, but are not limited to, investigation of one or more of:</w:t>
            </w:r>
          </w:p>
          <w:p w:rsidR="00000000" w:rsidRPr="00D85ACC" w:rsidP="00D85ACC">
            <w:pPr>
              <w:pStyle w:val="ListBullet"/>
            </w:pPr>
            <w:r w:rsidRPr="00D85ACC">
              <w:t xml:space="preserve">meteorology, geology, hydrology and ecology </w:t>
            </w:r>
          </w:p>
          <w:p w:rsidR="00000000" w:rsidRPr="00D85ACC" w:rsidP="00D85ACC">
            <w:pPr>
              <w:pStyle w:val="ListBullet"/>
            </w:pPr>
            <w:r w:rsidRPr="00D85ACC">
              <w:t>water qu</w:t>
            </w:r>
            <w:r w:rsidRPr="00D85ACC">
              <w:t>ality, industrial waste streams, air quality, noise and vibration</w:t>
            </w:r>
          </w:p>
          <w:p w:rsidR="00000000" w:rsidRPr="00D85ACC" w:rsidP="00D85ACC">
            <w:pPr>
              <w:pStyle w:val="ListBullet"/>
            </w:pPr>
            <w:r w:rsidRPr="00D85ACC">
              <w:t>soils, flora, weeds, native fauna, exotic or pest species and threatened species</w:t>
            </w:r>
          </w:p>
          <w:p w:rsidR="00000000" w:rsidRPr="00D85ACC" w:rsidP="00D85ACC">
            <w:pPr>
              <w:pStyle w:val="ListBullet"/>
            </w:pPr>
            <w:r w:rsidRPr="00D85ACC">
              <w:t>land use and cultural sites</w:t>
            </w:r>
          </w:p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 xml:space="preserve">Clients and stakeholders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Clients and stakeholders include, but are not limited to, one or more of:</w:t>
            </w:r>
          </w:p>
          <w:p w:rsidR="00000000" w:rsidRPr="00D85ACC" w:rsidP="00D85ACC">
            <w:pPr>
              <w:pStyle w:val="ListBullet"/>
            </w:pPr>
            <w:r w:rsidRPr="00D85ACC">
              <w:t>fee-for-service clients</w:t>
            </w:r>
          </w:p>
          <w:p w:rsidR="00000000" w:rsidRPr="00D85ACC" w:rsidP="00D85ACC">
            <w:pPr>
              <w:pStyle w:val="ListBullet"/>
            </w:pPr>
            <w:r w:rsidRPr="00D85ACC">
              <w:t>Commonwealth, state/territory and local government agencies</w:t>
            </w:r>
          </w:p>
          <w:p w:rsidR="00000000" w:rsidRPr="00D85ACC" w:rsidP="00D85ACC">
            <w:pPr>
              <w:pStyle w:val="ListBullet"/>
            </w:pPr>
            <w:r w:rsidRPr="00D85ACC">
              <w:t>workplaces with monitoring and/or survey responsibilities</w:t>
            </w:r>
          </w:p>
          <w:p w:rsidR="00000000" w:rsidRPr="00D85ACC" w:rsidP="00D85ACC">
            <w:pPr>
              <w:pStyle w:val="ListBullet"/>
            </w:pPr>
            <w:r w:rsidRPr="00D85ACC">
              <w:t>private companies</w:t>
            </w:r>
          </w:p>
          <w:p w:rsidR="00000000" w:rsidRPr="00D85ACC" w:rsidP="00D85ACC">
            <w:pPr>
              <w:pStyle w:val="ListBullet"/>
            </w:pPr>
            <w:r w:rsidRPr="00D85ACC">
              <w:t>regulatory authoritie</w:t>
            </w:r>
            <w:r w:rsidRPr="00D85ACC">
              <w:t>s</w:t>
            </w:r>
          </w:p>
          <w:p w:rsidR="00000000" w:rsidRPr="00D85ACC" w:rsidP="00D85ACC">
            <w:pPr>
              <w:pStyle w:val="ListBullet"/>
            </w:pPr>
            <w:r w:rsidRPr="00D85ACC">
              <w:t>environment protection agencies</w:t>
            </w:r>
          </w:p>
          <w:p w:rsidR="00000000" w:rsidRPr="00D85ACC" w:rsidP="00D85ACC">
            <w:pPr>
              <w:pStyle w:val="ListBullet"/>
            </w:pPr>
            <w:r w:rsidRPr="00D85ACC">
              <w:t>developers</w:t>
            </w:r>
          </w:p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>The purpose or objectives of environmental field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The purpose or objectives of environmental field activities will define and target information needs and include, but are not limited to, one or more</w:t>
            </w:r>
            <w:r w:rsidRPr="00D85ACC">
              <w:t xml:space="preserve"> of:</w:t>
            </w:r>
          </w:p>
          <w:p w:rsidR="00000000" w:rsidRPr="00D85ACC" w:rsidP="00D85ACC">
            <w:pPr>
              <w:pStyle w:val="ListBullet"/>
            </w:pPr>
            <w:r w:rsidRPr="00D85ACC">
              <w:t>part of workplace environmental management plan</w:t>
            </w:r>
          </w:p>
          <w:p w:rsidR="00000000" w:rsidRPr="00D85ACC" w:rsidP="00D85ACC">
            <w:pPr>
              <w:pStyle w:val="ListBullet"/>
            </w:pPr>
            <w:r w:rsidRPr="00D85ACC">
              <w:t>statutory requirements</w:t>
            </w:r>
          </w:p>
          <w:p w:rsidR="00000000" w:rsidRPr="00D85ACC" w:rsidP="00D85ACC">
            <w:pPr>
              <w:pStyle w:val="ListBullet"/>
            </w:pPr>
            <w:r w:rsidRPr="00D85ACC">
              <w:t>general environmental monitoring or surveys</w:t>
            </w:r>
          </w:p>
          <w:p w:rsidR="00000000" w:rsidRPr="00D85ACC" w:rsidP="00D85ACC">
            <w:pPr>
              <w:pStyle w:val="ListBullet"/>
            </w:pPr>
            <w:r w:rsidRPr="00D85ACC">
              <w:t>research studies</w:t>
            </w:r>
          </w:p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 xml:space="preserve">Staff field tasks and roles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Staff field tasks and roles include, but are not limited to, one or more of:</w:t>
            </w:r>
          </w:p>
          <w:p w:rsidR="00000000" w:rsidRPr="00D85ACC" w:rsidP="00D85ACC">
            <w:pPr>
              <w:pStyle w:val="ListBullet"/>
            </w:pPr>
            <w:r w:rsidRPr="00D85ACC">
              <w:t>team or project leader and survey coordinator</w:t>
            </w:r>
          </w:p>
          <w:p w:rsidR="00000000" w:rsidRPr="00D85ACC" w:rsidP="00D85ACC">
            <w:pPr>
              <w:pStyle w:val="ListBullet"/>
            </w:pPr>
            <w:r w:rsidRPr="00D85ACC">
              <w:t>field sampling officer, field monitoring officer and data management officer</w:t>
            </w:r>
          </w:p>
          <w:p w:rsidR="00000000" w:rsidRPr="00D85ACC" w:rsidP="00D85ACC">
            <w:pPr>
              <w:pStyle w:val="ListBullet"/>
            </w:pPr>
            <w:r w:rsidRPr="00D85ACC">
              <w:t>safety and/or environmental officer</w:t>
            </w:r>
          </w:p>
          <w:p w:rsidR="00000000" w:rsidRPr="00D85ACC" w:rsidP="00D85ACC">
            <w:pPr>
              <w:pStyle w:val="ListBullet"/>
            </w:pPr>
            <w:r w:rsidRPr="00D85ACC">
              <w:t>field camp supervisor, field assistant or field-hand</w:t>
            </w:r>
          </w:p>
          <w:p w:rsidR="00000000" w:rsidRPr="00D85ACC" w:rsidP="00D85ACC">
            <w:pPr>
              <w:pStyle w:val="ListBullet"/>
            </w:pPr>
            <w:r w:rsidRPr="00D85ACC">
              <w:t>driver</w:t>
            </w:r>
          </w:p>
          <w:p w:rsidR="00000000" w:rsidRPr="00D85ACC" w:rsidP="00D85ACC">
            <w:pPr>
              <w:pStyle w:val="ListBullet"/>
            </w:pPr>
            <w:r w:rsidRPr="00D85ACC">
              <w:t>any combination of the above</w:t>
            </w:r>
          </w:p>
          <w:p w:rsidR="00000000" w:rsidP="00D85ACC">
            <w:pPr>
              <w:pStyle w:val="BodyText"/>
              <w:rPr>
                <w:lang w:val="en-NZ"/>
              </w:rPr>
            </w:pPr>
          </w:p>
        </w:tc>
      </w:tr>
      <w:tr w:rsidTr="00EE33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ACC">
            <w:pPr>
              <w:pStyle w:val="BodyText"/>
              <w:rPr>
                <w:lang w:val="en-NZ"/>
              </w:rPr>
            </w:pPr>
            <w:r w:rsidRPr="00D85ACC">
              <w:rPr>
                <w:rStyle w:val="SpecialBold"/>
              </w:rPr>
              <w:t>WHS an</w:t>
            </w:r>
            <w:r w:rsidRPr="00D85ACC">
              <w:rPr>
                <w:rStyle w:val="SpecialBold"/>
              </w:rPr>
              <w:t xml:space="preserve">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ACC" w:rsidP="00D85ACC">
            <w:pPr>
              <w:pStyle w:val="BodyText"/>
            </w:pPr>
            <w:r w:rsidRPr="00D85ACC">
              <w:t>WHS and environmental management requirements include:</w:t>
            </w:r>
          </w:p>
          <w:p w:rsidR="00000000" w:rsidRPr="00D85ACC" w:rsidP="00D85ACC">
            <w:pPr>
              <w:pStyle w:val="BodyText"/>
            </w:pPr>
            <w:r w:rsidRPr="00D85ACC">
              <w:rPr>
                <w:rStyle w:val="Symbols"/>
              </w:rPr>
              <w:t></w:t>
            </w:r>
            <w:r w:rsidRPr="00D85ACC">
              <w:rPr>
                <w:rStyle w:val="Symbols"/>
              </w:rPr>
              <w:tab/>
            </w:r>
            <w:r w:rsidRPr="00D85ACC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D85ACC" w:rsidP="00D85ACC">
            <w:pPr>
              <w:pStyle w:val="BodyText"/>
            </w:pPr>
            <w:r w:rsidRPr="00D85ACC">
              <w:rPr>
                <w:rStyle w:val="Symbols"/>
              </w:rPr>
              <w:t></w:t>
            </w:r>
            <w:r w:rsidRPr="00D85ACC">
              <w:rPr>
                <w:rStyle w:val="Symbols"/>
              </w:rPr>
              <w:tab/>
            </w:r>
            <w:r w:rsidRPr="00D85ACC">
              <w:t>applying standard precautions relating to the potential</w:t>
            </w:r>
            <w:r w:rsidRPr="00D85ACC">
              <w:t>ly hazardous nature of samples</w:t>
            </w:r>
          </w:p>
          <w:p w:rsidR="00000000" w:rsidRPr="00D85ACC" w:rsidP="00D85ACC">
            <w:pPr>
              <w:pStyle w:val="ListBullet"/>
            </w:pPr>
            <w:r w:rsidRPr="00D85ACC">
              <w:t xml:space="preserve">accessing and applying current industry understanding of infection control issued by the National Health and Medical Research Council (NHMRC) and </w:t>
            </w:r>
            <w:r w:rsidRPr="00D85ACC">
              <w:t>State and Territory Departments of Health, where relevant</w:t>
            </w:r>
          </w:p>
        </w:tc>
      </w:tr>
    </w:tbl>
    <w:p w:rsidR="00000000" w:rsidRPr="00D85ACC" w:rsidP="00D85ACC">
      <w:pPr>
        <w:pStyle w:val="BodyText"/>
      </w:pP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9" w:name="O_902048"/>
      <w:bookmarkEnd w:id="9"/>
      <w:r w:rsidRPr="00D85ACC">
        <w:t>U</w:t>
      </w:r>
      <w:r w:rsidRPr="00D85ACC">
        <w:t>nit Mapping Information</w:t>
      </w:r>
    </w:p>
    <w:p w:rsidR="00000000" w:rsidRPr="00D85ACC" w:rsidP="00D85ACC">
      <w:pPr>
        <w:pStyle w:val="BodyText"/>
      </w:pPr>
      <w:r w:rsidRPr="00D85ACC">
        <w:t>Release 1. Supersedes and is equivalent to MSL976002A Prepare plans and quality assurance procedures for environmental field activities</w:t>
      </w:r>
    </w:p>
    <w:p w:rsidR="00000000" w:rsidRPr="00D85ACC" w:rsidP="00D85ACC">
      <w:pPr>
        <w:pStyle w:val="AllowPageBreak"/>
      </w:pPr>
    </w:p>
    <w:p w:rsidR="00000000" w:rsidRPr="00D85ACC" w:rsidP="00D85ACC">
      <w:pPr>
        <w:pStyle w:val="Heading1"/>
      </w:pPr>
      <w:bookmarkStart w:id="10" w:name="O_902041"/>
      <w:bookmarkEnd w:id="10"/>
      <w:r w:rsidRPr="00D85ACC">
        <w:t>Links</w:t>
      </w:r>
    </w:p>
    <w:p w:rsidR="00000000" w:rsidRPr="00D85ACC" w:rsidP="00D85ACC">
      <w:pPr>
        <w:pStyle w:val="BodyText"/>
      </w:pPr>
      <w:r w:rsidRPr="00D85ACC">
        <w:t>MSA Training Package Implementation Guides - http://mskills.org.au/training-packages/info/</w:t>
      </w:r>
    </w:p>
    <w:p w:rsidR="00000000" w:rsidRPr="00D85ACC" w:rsidP="00D85ACC"/>
    <w:sectPr w:rsidSect="00D85A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CC" w:rsidRPr="00EE3367" w:rsidP="00EE3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67" w:rsidP="00D85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E3367" w:rsidP="00D85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E3367" w:rsidP="00D85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CC" w:rsidRPr="00EE3367" w:rsidP="00EE33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67" w:rsidRPr="002D2AF8" w:rsidP="00D85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MSL976002 Prepare plans and quality assurance procedures for environmental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EE3367" w:rsidP="00D85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7E6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68E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ACC"/>
  </w:style>
  <w:style w:type="character" w:customStyle="1" w:styleId="Heading1Char">
    <w:name w:val="Heading 1 Char"/>
    <w:basedOn w:val="DefaultParagraphFont"/>
    <w:link w:val="Heading1"/>
    <w:rsid w:val="00D85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A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A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ACC"/>
    <w:rPr>
      <w:b/>
      <w:spacing w:val="0"/>
    </w:rPr>
  </w:style>
  <w:style w:type="paragraph" w:customStyle="1" w:styleId="SuperHeading">
    <w:name w:val="SuperHeading"/>
    <w:basedOn w:val="Normal"/>
    <w:rsid w:val="00D85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85AC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D85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A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A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ACC"/>
    <w:rPr>
      <w:i/>
    </w:rPr>
  </w:style>
  <w:style w:type="paragraph" w:styleId="Caption">
    <w:name w:val="caption"/>
    <w:basedOn w:val="BodyText"/>
    <w:next w:val="Normal"/>
    <w:qFormat/>
    <w:rsid w:val="00D85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ACC"/>
  </w:style>
  <w:style w:type="paragraph" w:styleId="TableofFigures">
    <w:name w:val="table of figures"/>
    <w:basedOn w:val="Normal"/>
    <w:next w:val="Normal"/>
    <w:semiHidden/>
    <w:rsid w:val="00D85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ACC"/>
    <w:pPr>
      <w:numPr>
        <w:numId w:val="10"/>
      </w:numPr>
    </w:pPr>
  </w:style>
  <w:style w:type="character" w:customStyle="1" w:styleId="WingdingSymbols">
    <w:name w:val="Wingding Symbols"/>
    <w:rsid w:val="00D85ACC"/>
    <w:rPr>
      <w:rFonts w:ascii="Wingdings" w:hAnsi="Wingdings"/>
    </w:rPr>
  </w:style>
  <w:style w:type="paragraph" w:customStyle="1" w:styleId="TableHeading">
    <w:name w:val="Table Heading"/>
    <w:basedOn w:val="HeadingBase"/>
    <w:rsid w:val="00D85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ACC"/>
    <w:rPr>
      <w:color w:val="0033CC"/>
      <w:u w:val="none"/>
    </w:rPr>
  </w:style>
  <w:style w:type="paragraph" w:customStyle="1" w:styleId="BodyTextRight">
    <w:name w:val="Body Text Right"/>
    <w:basedOn w:val="BodyText"/>
    <w:rsid w:val="00D85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A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ACC"/>
    <w:rPr>
      <w:sz w:val="32"/>
    </w:rPr>
  </w:style>
  <w:style w:type="paragraph" w:customStyle="1" w:styleId="HeadingProcedure">
    <w:name w:val="Heading Procedure"/>
    <w:basedOn w:val="HeadingBase"/>
    <w:next w:val="Normal"/>
    <w:rsid w:val="00D85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ACC"/>
    <w:pPr>
      <w:spacing w:before="60" w:after="60"/>
    </w:pPr>
  </w:style>
  <w:style w:type="paragraph" w:styleId="ListContinue">
    <w:name w:val="List Continue"/>
    <w:basedOn w:val="List"/>
    <w:rsid w:val="00D85ACC"/>
    <w:pPr>
      <w:ind w:firstLine="0"/>
    </w:pPr>
  </w:style>
  <w:style w:type="paragraph" w:customStyle="1" w:styleId="ListNote">
    <w:name w:val="List Note"/>
    <w:basedOn w:val="List"/>
    <w:rsid w:val="00D85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ACC"/>
    <w:rPr>
      <w:rFonts w:ascii="Courier New" w:hAnsi="Courier New"/>
    </w:rPr>
  </w:style>
  <w:style w:type="paragraph" w:customStyle="1" w:styleId="NoteBullet">
    <w:name w:val="Note Bullet"/>
    <w:basedOn w:val="Note"/>
    <w:rsid w:val="00D85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A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ACC"/>
    <w:rPr>
      <w:b/>
      <w:smallCaps/>
    </w:rPr>
  </w:style>
  <w:style w:type="paragraph" w:customStyle="1" w:styleId="TableListNumber">
    <w:name w:val="Table List Number"/>
    <w:basedOn w:val="ListNumber"/>
    <w:rsid w:val="00D85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ACC"/>
    <w:pPr>
      <w:numPr>
        <w:numId w:val="8"/>
      </w:numPr>
    </w:pPr>
  </w:style>
  <w:style w:type="paragraph" w:customStyle="1" w:styleId="ListAlpha2">
    <w:name w:val="List Alpha 2"/>
    <w:basedOn w:val="List2"/>
    <w:rsid w:val="00D85ACC"/>
    <w:pPr>
      <w:numPr>
        <w:numId w:val="7"/>
      </w:numPr>
    </w:pPr>
  </w:style>
  <w:style w:type="paragraph" w:styleId="List2">
    <w:name w:val="List 2"/>
    <w:basedOn w:val="BodyText"/>
    <w:rsid w:val="00D85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A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A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ACC"/>
    <w:pPr>
      <w:numPr>
        <w:numId w:val="3"/>
      </w:numPr>
    </w:pPr>
  </w:style>
  <w:style w:type="paragraph" w:styleId="ListContinue2">
    <w:name w:val="List Continue 2"/>
    <w:basedOn w:val="List2"/>
    <w:rsid w:val="00D85ACC"/>
    <w:pPr>
      <w:ind w:firstLine="0"/>
    </w:pPr>
  </w:style>
  <w:style w:type="paragraph" w:styleId="ListContinue3">
    <w:name w:val="List Continue 3"/>
    <w:basedOn w:val="List3"/>
    <w:rsid w:val="00D85ACC"/>
    <w:pPr>
      <w:ind w:left="1021" w:firstLine="0"/>
    </w:pPr>
  </w:style>
  <w:style w:type="paragraph" w:styleId="ListContinue4">
    <w:name w:val="List Continue 4"/>
    <w:basedOn w:val="List4"/>
    <w:rsid w:val="00D85ACC"/>
    <w:pPr>
      <w:ind w:firstLine="0"/>
    </w:pPr>
  </w:style>
  <w:style w:type="paragraph" w:styleId="ListContinue5">
    <w:name w:val="List Continue 5"/>
    <w:basedOn w:val="List5"/>
    <w:rsid w:val="00D85ACC"/>
    <w:pPr>
      <w:ind w:firstLine="0"/>
    </w:pPr>
  </w:style>
  <w:style w:type="paragraph" w:styleId="ListNumber3">
    <w:name w:val="List Number 3"/>
    <w:basedOn w:val="List3"/>
    <w:rsid w:val="00D85ACC"/>
    <w:pPr>
      <w:numPr>
        <w:numId w:val="4"/>
      </w:numPr>
    </w:pPr>
  </w:style>
  <w:style w:type="paragraph" w:styleId="ListNumber4">
    <w:name w:val="List Number 4"/>
    <w:basedOn w:val="List4"/>
    <w:rsid w:val="00D85ACC"/>
    <w:pPr>
      <w:numPr>
        <w:numId w:val="5"/>
      </w:numPr>
    </w:pPr>
  </w:style>
  <w:style w:type="paragraph" w:styleId="ListNumber5">
    <w:name w:val="List Number 5"/>
    <w:basedOn w:val="List5"/>
    <w:rsid w:val="00D85ACC"/>
    <w:pPr>
      <w:numPr>
        <w:numId w:val="6"/>
      </w:numPr>
    </w:pPr>
  </w:style>
  <w:style w:type="paragraph" w:styleId="BlockText">
    <w:name w:val="Block Text"/>
    <w:basedOn w:val="Normal"/>
    <w:rsid w:val="00D85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AC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85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ACC"/>
    <w:rPr>
      <w:b/>
    </w:rPr>
  </w:style>
  <w:style w:type="character" w:customStyle="1" w:styleId="Underlined">
    <w:name w:val="Underlined"/>
    <w:basedOn w:val="DefaultParagraphFont"/>
    <w:rsid w:val="00D85ACC"/>
    <w:rPr>
      <w:u w:val="single"/>
    </w:rPr>
  </w:style>
  <w:style w:type="paragraph" w:customStyle="1" w:styleId="TableBodyTextRight">
    <w:name w:val="Table Body Text Right"/>
    <w:basedOn w:val="TableBodyText"/>
    <w:rsid w:val="00D85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ACC"/>
    <w:rPr>
      <w:sz w:val="18"/>
    </w:rPr>
  </w:style>
  <w:style w:type="paragraph" w:customStyle="1" w:styleId="BodySmallRight">
    <w:name w:val="Body Small Right"/>
    <w:basedOn w:val="BodyTextRight"/>
    <w:rsid w:val="00D85ACC"/>
    <w:rPr>
      <w:sz w:val="18"/>
      <w:szCs w:val="18"/>
    </w:rPr>
  </w:style>
  <w:style w:type="paragraph" w:customStyle="1" w:styleId="MarginEdition">
    <w:name w:val="Margin Edition"/>
    <w:basedOn w:val="MarginNote"/>
    <w:rsid w:val="00D85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ACC"/>
    <w:rPr>
      <w:sz w:val="2"/>
      <w:szCs w:val="2"/>
    </w:rPr>
  </w:style>
  <w:style w:type="character" w:customStyle="1" w:styleId="Small">
    <w:name w:val="Small"/>
    <w:basedOn w:val="DefaultParagraphFont"/>
    <w:rsid w:val="00D85ACC"/>
    <w:rPr>
      <w:sz w:val="16"/>
    </w:rPr>
  </w:style>
  <w:style w:type="paragraph" w:customStyle="1" w:styleId="WideTable">
    <w:name w:val="Wide Table"/>
    <w:basedOn w:val="Normal"/>
    <w:rsid w:val="00D85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ACC"/>
  </w:style>
  <w:style w:type="paragraph" w:styleId="Quote">
    <w:name w:val="Quote"/>
    <w:basedOn w:val="Heading1"/>
    <w:link w:val="QuoteChar"/>
    <w:qFormat/>
    <w:rsid w:val="00D85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ACC"/>
    <w:pPr>
      <w:pageBreakBefore/>
    </w:pPr>
  </w:style>
  <w:style w:type="paragraph" w:customStyle="1" w:styleId="Border">
    <w:name w:val="Border"/>
    <w:basedOn w:val="Normal"/>
    <w:qFormat/>
    <w:rsid w:val="00D85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ACC"/>
    <w:rPr>
      <w:u w:val="single"/>
    </w:rPr>
  </w:style>
  <w:style w:type="character" w:customStyle="1" w:styleId="BoldandItalics">
    <w:name w:val="Bold and Italics"/>
    <w:qFormat/>
    <w:rsid w:val="00D85ACC"/>
    <w:rPr>
      <w:b/>
      <w:i/>
      <w:u w:val="none"/>
    </w:rPr>
  </w:style>
  <w:style w:type="paragraph" w:styleId="BalloonText">
    <w:name w:val="Balloon Text"/>
    <w:basedOn w:val="Normal"/>
    <w:link w:val="BalloonTextChar"/>
    <w:rsid w:val="00D85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A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A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1245</Words>
  <Characters>8159</Characters>
  <Application>Microsoft Office Word</Application>
  <DocSecurity>0</DocSecurity>
  <Lines>300</Lines>
  <Paragraphs>127</Paragraphs>
  <ScaleCrop>false</ScaleCrop>
  <Company>Author-it Software Corporation Ltd.</Company>
  <LinksUpToDate>false</LinksUpToDate>
  <CharactersWithSpaces>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MSL976002 Prepare plans and quality assurance procedures for environmental field activities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2016-03-01T06:19:00Z</dcterms:created>
  <dcterms:modified xsi:type="dcterms:W3CDTF">2016-03-01T06:19:00Z</dcterms:modified>
</cp:coreProperties>
</file>