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010" w:rsidP="00E35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MSL975063 Perform haematological tests</w:t>
      </w:r>
      <w:r>
        <w:fldChar w:fldCharType="end"/>
      </w:r>
    </w:p>
    <w:p w:rsidR="00E35010" w:rsidP="00E35010">
      <w:pPr>
        <w:pStyle w:val="Version"/>
        <w:sectPr w:rsidSect="005271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1A7" w:rsidP="005271A7">
      <w:pPr>
        <w:pStyle w:val="SuperHeading"/>
      </w:pPr>
      <w:r w:rsidRPr="005271A7">
        <w:t>Assessment Requirements for MSL975063 Perform haematological tests</w:t>
      </w:r>
    </w:p>
    <w:p w:rsidR="00000000" w:rsidRPr="005271A7" w:rsidP="005271A7">
      <w:pPr>
        <w:pStyle w:val="Heading1"/>
      </w:pPr>
      <w:bookmarkStart w:id="1" w:name="O_1258767"/>
      <w:bookmarkEnd w:id="1"/>
      <w:r w:rsidRPr="005271A7">
        <w:t>Modification History</w:t>
      </w:r>
    </w:p>
    <w:p w:rsidR="00E35010" w:rsidP="00E35010">
      <w:pPr>
        <w:pStyle w:val="BodyText"/>
      </w:pPr>
      <w:r w:rsidRPr="005271A7">
        <w:t>Release 1. Supersedes and equivalent to MSL975036 Perform haematological tests</w:t>
      </w:r>
      <w:r w:rsidRPr="005271A7">
        <w:t>. Minor change to Performance Criteria. Oral communication removed from Foundation Skills as this is not a focus of the unit. Additional test items added to Knowledge Evidence.</w:t>
      </w:r>
    </w:p>
    <w:p w:rsidR="00000000" w:rsidRPr="005271A7" w:rsidP="005271A7">
      <w:pPr>
        <w:pStyle w:val="Heading1"/>
      </w:pPr>
      <w:bookmarkStart w:id="2" w:name="O_1258768"/>
      <w:bookmarkEnd w:id="2"/>
      <w:r w:rsidRPr="005271A7">
        <w:t>Performance Evidence</w:t>
      </w:r>
    </w:p>
    <w:p w:rsidR="00000000" w:rsidRPr="005271A7" w:rsidP="00E35010">
      <w:pPr>
        <w:pStyle w:val="BodyText"/>
      </w:pPr>
      <w:r w:rsidRPr="005271A7">
        <w:t>There must be evidence the candidate h</w:t>
      </w:r>
      <w:r w:rsidRPr="005271A7">
        <w:t>as completed the tasks outlined in the elements and performance criteria of this unit, and:</w:t>
      </w:r>
    </w:p>
    <w:p w:rsidR="00000000" w:rsidRPr="005271A7" w:rsidP="005271A7">
      <w:pPr>
        <w:pStyle w:val="ListBullet"/>
      </w:pPr>
      <w:r w:rsidRPr="005271A7">
        <w:t>safely and accurately performed and interpreted at least 3 haematological tests or procedures from the list below:</w:t>
      </w:r>
    </w:p>
    <w:p w:rsidR="00000000" w:rsidRPr="005271A7" w:rsidP="005271A7">
      <w:pPr>
        <w:pStyle w:val="ListBullet2"/>
      </w:pPr>
      <w:r w:rsidRPr="005271A7">
        <w:t>packed cell volume (PCV) or Haematocrit (HCT)</w:t>
      </w:r>
    </w:p>
    <w:p w:rsidR="00000000" w:rsidRPr="005271A7" w:rsidP="005271A7">
      <w:pPr>
        <w:pStyle w:val="ListBullet2"/>
      </w:pPr>
      <w:r w:rsidRPr="005271A7">
        <w:t>e</w:t>
      </w:r>
      <w:r w:rsidRPr="005271A7">
        <w:t>rythrocyte sedimentation rate (ESR)</w:t>
      </w:r>
    </w:p>
    <w:p w:rsidR="00000000" w:rsidRPr="005271A7" w:rsidP="005271A7">
      <w:pPr>
        <w:pStyle w:val="ListBullet2"/>
      </w:pPr>
      <w:r w:rsidRPr="005271A7">
        <w:t>manual platelet estimation</w:t>
      </w:r>
    </w:p>
    <w:p w:rsidR="00000000" w:rsidRPr="005271A7" w:rsidP="005271A7">
      <w:pPr>
        <w:pStyle w:val="ListBullet2"/>
      </w:pPr>
      <w:r w:rsidRPr="005271A7">
        <w:t>manual reticulocyte count</w:t>
      </w:r>
    </w:p>
    <w:p w:rsidR="00000000" w:rsidRPr="005271A7" w:rsidP="005271A7">
      <w:pPr>
        <w:pStyle w:val="ListBullet2"/>
      </w:pPr>
      <w:r w:rsidRPr="005271A7">
        <w:t>haemoglobin (Hb) measurement</w:t>
      </w:r>
    </w:p>
    <w:p w:rsidR="00000000" w:rsidRPr="005271A7" w:rsidP="005271A7">
      <w:pPr>
        <w:pStyle w:val="ListBullet2"/>
      </w:pPr>
      <w:r w:rsidRPr="005271A7">
        <w:t>coagulation tests including prothrombin time</w:t>
      </w:r>
    </w:p>
    <w:p w:rsidR="00000000" w:rsidRPr="005271A7" w:rsidP="005271A7">
      <w:pPr>
        <w:pStyle w:val="ListBullet"/>
      </w:pPr>
      <w:r w:rsidRPr="005271A7">
        <w:t xml:space="preserve">accurately performed and interpreted the following tests, recording results for at least 3 </w:t>
      </w:r>
      <w:r w:rsidRPr="005271A7">
        <w:t>samples, including 1 normal and 2 abnormal, for each of the following:</w:t>
      </w:r>
    </w:p>
    <w:p w:rsidR="00000000" w:rsidRPr="005271A7" w:rsidP="005271A7">
      <w:pPr>
        <w:pStyle w:val="ListBullet2"/>
      </w:pPr>
      <w:r w:rsidRPr="005271A7">
        <w:t>calculate red cell indices including mean cell volume (MCV), mean cell haemoglobin (MCH), and mean cell haemoglobin concentration (MCHC)</w:t>
      </w:r>
    </w:p>
    <w:p w:rsidR="00000000" w:rsidRPr="005271A7" w:rsidP="005271A7">
      <w:pPr>
        <w:pStyle w:val="ListBullet2"/>
      </w:pPr>
      <w:r w:rsidRPr="005271A7">
        <w:t>white blood cell (WBC) differential</w:t>
      </w:r>
    </w:p>
    <w:p w:rsidR="00000000" w:rsidRPr="005271A7" w:rsidP="005271A7">
      <w:pPr>
        <w:pStyle w:val="ListBullet2"/>
      </w:pPr>
      <w:r w:rsidRPr="005271A7">
        <w:t>red blood c</w:t>
      </w:r>
      <w:r w:rsidRPr="005271A7">
        <w:t>ell (RBC), WBC and platelet morphology</w:t>
      </w:r>
    </w:p>
    <w:p w:rsidR="00000000" w:rsidRPr="005271A7" w:rsidP="005271A7">
      <w:pPr>
        <w:pStyle w:val="ListBullet"/>
      </w:pPr>
      <w:r w:rsidRPr="005271A7">
        <w:t>used accurate terminology</w:t>
      </w:r>
    </w:p>
    <w:p w:rsidR="00E35010" w:rsidP="005271A7">
      <w:pPr>
        <w:pStyle w:val="ListBullet"/>
      </w:pPr>
      <w:r w:rsidRPr="005271A7">
        <w:t>visually differentiate a variety of sample conditions including clotted, lipemic, haemolysed and inadequate samples.</w:t>
      </w:r>
    </w:p>
    <w:p w:rsidR="00E35010" w:rsidP="005271A7">
      <w:pPr>
        <w:pStyle w:val="ListBullet"/>
      </w:pPr>
    </w:p>
    <w:p w:rsidR="00000000" w:rsidRPr="005271A7" w:rsidP="005271A7">
      <w:pPr>
        <w:pStyle w:val="Heading1"/>
      </w:pPr>
      <w:bookmarkStart w:id="3" w:name="O_1258769"/>
      <w:bookmarkEnd w:id="3"/>
      <w:r w:rsidRPr="005271A7">
        <w:t>Knowledge Evidence</w:t>
      </w:r>
    </w:p>
    <w:p w:rsidR="00000000" w:rsidRPr="005271A7" w:rsidP="00E35010">
      <w:pPr>
        <w:pStyle w:val="BodyText"/>
      </w:pPr>
      <w:r w:rsidRPr="005271A7">
        <w:t>There must be evidence the candida</w:t>
      </w:r>
      <w:r w:rsidRPr="005271A7">
        <w:t>te has knowledge of:</w:t>
      </w:r>
    </w:p>
    <w:p w:rsidR="00000000" w:rsidRPr="005271A7" w:rsidP="005271A7">
      <w:pPr>
        <w:pStyle w:val="ListBullet"/>
      </w:pPr>
      <w:r w:rsidRPr="005271A7">
        <w:t>medical terminology relevant to normal and abnormal haematology</w:t>
      </w:r>
    </w:p>
    <w:p w:rsidR="00000000" w:rsidRPr="005271A7" w:rsidP="005271A7">
      <w:pPr>
        <w:pStyle w:val="ListBullet"/>
      </w:pPr>
      <w:r w:rsidRPr="005271A7">
        <w:t xml:space="preserve">basic structure and function of red blood cells, white blood cells and platelets </w:t>
      </w:r>
    </w:p>
    <w:p w:rsidR="00000000" w:rsidRPr="005271A7" w:rsidP="005271A7">
      <w:pPr>
        <w:pStyle w:val="ListBullet"/>
      </w:pPr>
      <w:r w:rsidRPr="005271A7">
        <w:t>structure, function and metabolic variants of Hb</w:t>
      </w:r>
    </w:p>
    <w:p w:rsidR="00000000" w:rsidRPr="005271A7" w:rsidP="005271A7">
      <w:pPr>
        <w:pStyle w:val="ListBullet"/>
      </w:pPr>
      <w:r w:rsidRPr="005271A7">
        <w:t>basic principles of haemostasis and the</w:t>
      </w:r>
      <w:r w:rsidRPr="005271A7">
        <w:t xml:space="preserve"> effects of therapeutic drugs on coagulation mechanisms</w:t>
      </w:r>
    </w:p>
    <w:p w:rsidR="00000000" w:rsidRPr="005271A7" w:rsidP="005271A7">
      <w:pPr>
        <w:pStyle w:val="ListBullet"/>
      </w:pPr>
      <w:r w:rsidRPr="005271A7">
        <w:t>routine tests performed in haematology laboratories and their purpose, including:</w:t>
      </w:r>
    </w:p>
    <w:p w:rsidR="00000000" w:rsidRPr="005271A7" w:rsidP="005271A7">
      <w:pPr>
        <w:pStyle w:val="ListBullet2"/>
      </w:pPr>
      <w:r w:rsidRPr="005271A7">
        <w:t>full blood count</w:t>
      </w:r>
    </w:p>
    <w:p w:rsidR="00000000" w:rsidRPr="005271A7" w:rsidP="005271A7">
      <w:pPr>
        <w:pStyle w:val="ListBullet2"/>
      </w:pPr>
      <w:r w:rsidRPr="005271A7">
        <w:t>routine haematological stains</w:t>
      </w:r>
    </w:p>
    <w:p w:rsidR="00000000" w:rsidRPr="005271A7" w:rsidP="005271A7">
      <w:pPr>
        <w:pStyle w:val="ListBullet2"/>
      </w:pPr>
      <w:r w:rsidRPr="005271A7">
        <w:t>blood film examination</w:t>
      </w:r>
    </w:p>
    <w:p w:rsidR="00000000" w:rsidRPr="005271A7" w:rsidP="005271A7">
      <w:pPr>
        <w:pStyle w:val="ListBullet2"/>
      </w:pPr>
      <w:r w:rsidRPr="005271A7">
        <w:t>coagulation tests including prothrombin time</w:t>
      </w:r>
    </w:p>
    <w:p w:rsidR="00000000" w:rsidRPr="005271A7" w:rsidP="005271A7">
      <w:pPr>
        <w:pStyle w:val="ListBullet2"/>
      </w:pPr>
      <w:r w:rsidRPr="005271A7">
        <w:t xml:space="preserve">haemoglobin measurement </w:t>
      </w:r>
    </w:p>
    <w:p w:rsidR="00000000" w:rsidRPr="005271A7" w:rsidP="005271A7">
      <w:pPr>
        <w:pStyle w:val="ListBullet2"/>
      </w:pPr>
      <w:r w:rsidRPr="005271A7">
        <w:t>packed cell volume (PCV) /Haematocrit</w:t>
      </w:r>
    </w:p>
    <w:p w:rsidR="00000000" w:rsidRPr="005271A7" w:rsidP="005271A7">
      <w:pPr>
        <w:pStyle w:val="ListBullet2"/>
      </w:pPr>
      <w:r w:rsidRPr="005271A7">
        <w:t>erythrocyte sedimentation rate (ESR)</w:t>
      </w:r>
    </w:p>
    <w:p w:rsidR="00000000" w:rsidRPr="005271A7" w:rsidP="005271A7">
      <w:pPr>
        <w:pStyle w:val="ListBullet2"/>
      </w:pPr>
      <w:r w:rsidRPr="005271A7">
        <w:t>manual platelet estimation</w:t>
      </w:r>
    </w:p>
    <w:p w:rsidR="00000000" w:rsidRPr="005271A7" w:rsidP="005271A7">
      <w:pPr>
        <w:pStyle w:val="ListBullet2"/>
      </w:pPr>
      <w:r w:rsidRPr="005271A7">
        <w:t>reticulocyte count</w:t>
      </w:r>
    </w:p>
    <w:p w:rsidR="00000000" w:rsidRPr="005271A7" w:rsidP="005271A7">
      <w:pPr>
        <w:pStyle w:val="ListBullet"/>
      </w:pPr>
      <w:r w:rsidRPr="005271A7">
        <w:t>morphological variation of red blood cells, white blood cells and platelets and their significance as a diagn</w:t>
      </w:r>
      <w:r w:rsidRPr="005271A7">
        <w:t xml:space="preserve">ostic indicator and their relationship to physiological and pathological conditions  </w:t>
      </w:r>
    </w:p>
    <w:p w:rsidR="00000000" w:rsidRPr="005271A7" w:rsidP="005271A7">
      <w:pPr>
        <w:pStyle w:val="ListBullet"/>
      </w:pPr>
      <w:r w:rsidRPr="005271A7">
        <w:t>key diagnostic laboratory findings used to identify common haematological disorders including:</w:t>
      </w:r>
    </w:p>
    <w:p w:rsidR="00000000" w:rsidRPr="005271A7" w:rsidP="005271A7">
      <w:pPr>
        <w:pStyle w:val="ListBullet2"/>
      </w:pPr>
      <w:r w:rsidRPr="005271A7">
        <w:t>anaemias and the common subtypes including macrocytic, microcytic and norm</w:t>
      </w:r>
      <w:r w:rsidRPr="005271A7">
        <w:t>ocytic</w:t>
      </w:r>
    </w:p>
    <w:p w:rsidR="00000000" w:rsidRPr="005271A7" w:rsidP="005271A7">
      <w:pPr>
        <w:pStyle w:val="ListBullet2"/>
      </w:pPr>
      <w:r w:rsidRPr="005271A7">
        <w:t xml:space="preserve">acute leukaemias </w:t>
      </w:r>
    </w:p>
    <w:p w:rsidR="00000000" w:rsidRPr="005271A7" w:rsidP="005271A7">
      <w:pPr>
        <w:pStyle w:val="ListBullet2"/>
      </w:pPr>
      <w:r w:rsidRPr="005271A7">
        <w:t>mature lymphoproliferative disorders</w:t>
      </w:r>
    </w:p>
    <w:p w:rsidR="00000000" w:rsidRPr="005271A7" w:rsidP="005271A7">
      <w:pPr>
        <w:pStyle w:val="ListBullet2"/>
      </w:pPr>
      <w:r w:rsidRPr="005271A7">
        <w:t>myeloproliferative disorders</w:t>
      </w:r>
    </w:p>
    <w:p w:rsidR="00000000" w:rsidRPr="005271A7" w:rsidP="005271A7">
      <w:pPr>
        <w:pStyle w:val="ListBullet2"/>
      </w:pPr>
      <w:r w:rsidRPr="005271A7">
        <w:t>myelodysplastic syndromes</w:t>
      </w:r>
    </w:p>
    <w:p w:rsidR="00000000" w:rsidRPr="005271A7" w:rsidP="005271A7">
      <w:pPr>
        <w:pStyle w:val="ListBullet2"/>
      </w:pPr>
      <w:r w:rsidRPr="005271A7">
        <w:t>microbiological infections including malaria</w:t>
      </w:r>
    </w:p>
    <w:p w:rsidR="00000000" w:rsidRPr="005271A7" w:rsidP="005271A7">
      <w:pPr>
        <w:pStyle w:val="ListBullet2"/>
      </w:pPr>
      <w:r w:rsidRPr="005271A7">
        <w:t>coagulopathies</w:t>
      </w:r>
    </w:p>
    <w:p w:rsidR="00000000" w:rsidRPr="005271A7" w:rsidP="005271A7">
      <w:pPr>
        <w:pStyle w:val="ListBullet"/>
      </w:pPr>
      <w:r w:rsidRPr="005271A7">
        <w:t>importance of identifying immature cells including nucleated red blood cells (NRBC) and blasts</w:t>
      </w:r>
    </w:p>
    <w:p w:rsidR="00000000" w:rsidRPr="005271A7" w:rsidP="005271A7">
      <w:pPr>
        <w:pStyle w:val="ListBullet"/>
      </w:pPr>
      <w:r w:rsidRPr="005271A7">
        <w:t xml:space="preserve">Importance of early detection of acute promyelocytic leukaemia </w:t>
      </w:r>
    </w:p>
    <w:p w:rsidR="00000000" w:rsidRPr="005271A7" w:rsidP="005271A7">
      <w:pPr>
        <w:pStyle w:val="ListBullet"/>
      </w:pPr>
      <w:r w:rsidRPr="005271A7">
        <w:t>actions required when abnormal parameters are identified</w:t>
      </w:r>
    </w:p>
    <w:p w:rsidR="00000000" w:rsidRPr="005271A7" w:rsidP="005271A7">
      <w:pPr>
        <w:pStyle w:val="ListBullet"/>
      </w:pPr>
      <w:r w:rsidRPr="005271A7">
        <w:t>causes and impact of haemoloysis of resu</w:t>
      </w:r>
      <w:r w:rsidRPr="005271A7">
        <w:t xml:space="preserve">lt values </w:t>
      </w:r>
    </w:p>
    <w:p w:rsidR="00000000" w:rsidRPr="005271A7" w:rsidP="005271A7">
      <w:pPr>
        <w:pStyle w:val="ListBullet"/>
      </w:pPr>
      <w:r w:rsidRPr="005271A7">
        <w:t>types of further testing and their importance to confirm diagnosis</w:t>
      </w:r>
    </w:p>
    <w:p w:rsidR="00000000" w:rsidRPr="005271A7" w:rsidP="005271A7">
      <w:pPr>
        <w:pStyle w:val="ListBullet"/>
      </w:pPr>
      <w:r w:rsidRPr="005271A7">
        <w:t>technological advances in haematology including automation of full blood counts, coagulation assays and point of care testing:</w:t>
      </w:r>
    </w:p>
    <w:p w:rsidR="00000000" w:rsidRPr="005271A7" w:rsidP="005271A7">
      <w:pPr>
        <w:pStyle w:val="ListBullet2"/>
      </w:pPr>
      <w:r w:rsidRPr="005271A7">
        <w:t>basic principle and purpose of flow cytometry</w:t>
      </w:r>
    </w:p>
    <w:p w:rsidR="00000000" w:rsidRPr="005271A7" w:rsidP="005271A7">
      <w:pPr>
        <w:pStyle w:val="ListBullet2"/>
      </w:pPr>
      <w:r w:rsidRPr="005271A7">
        <w:t>adva</w:t>
      </w:r>
      <w:r w:rsidRPr="005271A7">
        <w:t>ntages and limitation of automation</w:t>
      </w:r>
    </w:p>
    <w:p w:rsidR="00000000" w:rsidRPr="005271A7" w:rsidP="005271A7">
      <w:pPr>
        <w:pStyle w:val="ListBullet2"/>
      </w:pPr>
      <w:r w:rsidRPr="005271A7">
        <w:t>importance of equipment maintenance and use of controls</w:t>
      </w:r>
    </w:p>
    <w:p w:rsidR="00000000" w:rsidRPr="005271A7" w:rsidP="005271A7">
      <w:pPr>
        <w:pStyle w:val="ListBullet"/>
      </w:pPr>
      <w:r w:rsidRPr="005271A7">
        <w:t xml:space="preserve">relationships that exist between the sample and the test result, including: </w:t>
      </w:r>
    </w:p>
    <w:p w:rsidR="00000000" w:rsidRPr="005271A7" w:rsidP="005271A7">
      <w:pPr>
        <w:pStyle w:val="ListBullet2"/>
      </w:pPr>
      <w:r w:rsidRPr="005271A7">
        <w:t>sample collection</w:t>
      </w:r>
    </w:p>
    <w:p w:rsidR="00000000" w:rsidRPr="005271A7" w:rsidP="005271A7">
      <w:pPr>
        <w:pStyle w:val="ListBullet2"/>
      </w:pPr>
      <w:r w:rsidRPr="005271A7">
        <w:t>the preservation and timely testing of samples</w:t>
      </w:r>
    </w:p>
    <w:p w:rsidR="00000000" w:rsidRPr="005271A7" w:rsidP="005271A7">
      <w:pPr>
        <w:pStyle w:val="ListBullet2"/>
      </w:pPr>
      <w:r w:rsidRPr="005271A7">
        <w:t>sample transport and storage conditions and issues of fixation/staining artefact</w:t>
      </w:r>
    </w:p>
    <w:p w:rsidR="00000000" w:rsidRPr="005271A7" w:rsidP="005271A7">
      <w:pPr>
        <w:pStyle w:val="ListBullet"/>
      </w:pPr>
      <w:r w:rsidRPr="005271A7">
        <w:t>trouble shooting of common sample quality issues</w:t>
      </w:r>
    </w:p>
    <w:p w:rsidR="00000000" w:rsidRPr="005271A7" w:rsidP="005271A7">
      <w:pPr>
        <w:pStyle w:val="ListBullet"/>
      </w:pPr>
      <w:r w:rsidRPr="005271A7">
        <w:t>awareness of environmental sustainability issues as they relate to the work task</w:t>
      </w:r>
    </w:p>
    <w:p w:rsidR="00E35010" w:rsidP="005271A7">
      <w:pPr>
        <w:pStyle w:val="ListBullet"/>
      </w:pPr>
      <w:r w:rsidRPr="005271A7">
        <w:t>legal, ethical and work health and safety (W</w:t>
      </w:r>
      <w:r w:rsidRPr="005271A7">
        <w:t>HS) requirements specific to the work task including traceability, confidentiality and security requirements of all clinical information, and laboratory data and records.</w:t>
      </w:r>
    </w:p>
    <w:p w:rsidR="00E35010" w:rsidP="005271A7">
      <w:pPr>
        <w:pStyle w:val="ListBullet"/>
      </w:pPr>
    </w:p>
    <w:p w:rsidR="00000000" w:rsidRPr="005271A7" w:rsidP="005271A7">
      <w:pPr>
        <w:pStyle w:val="Heading1"/>
      </w:pPr>
      <w:bookmarkStart w:id="4" w:name="O_1258770"/>
      <w:bookmarkEnd w:id="4"/>
      <w:r w:rsidRPr="005271A7">
        <w:t>Assessment Conditions</w:t>
      </w:r>
    </w:p>
    <w:p w:rsidR="00000000" w:rsidRPr="005271A7" w:rsidP="00E35010">
      <w:pPr>
        <w:pStyle w:val="BodyText"/>
      </w:pPr>
      <w:r w:rsidRPr="005271A7">
        <w:t>Skills must have been demonstrated in the w</w:t>
      </w:r>
      <w:r w:rsidRPr="005271A7">
        <w:t xml:space="preserve">orkplace or in a simulated environment that reflects workplace conditions and contingencies. The following conditions must be met for this unit: </w:t>
      </w:r>
    </w:p>
    <w:p w:rsidR="00000000" w:rsidRPr="005271A7" w:rsidP="005271A7">
      <w:pPr>
        <w:pStyle w:val="ListBullet"/>
      </w:pPr>
      <w:r w:rsidRPr="005271A7">
        <w:t xml:space="preserve">use of suitable facilities, equipment and resources, including: </w:t>
      </w:r>
    </w:p>
    <w:p w:rsidR="00000000" w:rsidRPr="005271A7" w:rsidP="005271A7">
      <w:pPr>
        <w:pStyle w:val="ListBullet2"/>
      </w:pPr>
      <w:r w:rsidRPr="005271A7">
        <w:t>a standard haematology laboratory with rele</w:t>
      </w:r>
      <w:r w:rsidRPr="005271A7">
        <w:t>vant equipment, samples and reagents,  information management system, databases and record/filing system</w:t>
      </w:r>
    </w:p>
    <w:p w:rsidR="00000000" w:rsidRPr="005271A7" w:rsidP="005271A7">
      <w:pPr>
        <w:pStyle w:val="ListBullet2"/>
      </w:pPr>
      <w:r w:rsidRPr="005271A7">
        <w:t>instruments for the semi-automated or automated electronic counting and partial characterisation of blood cells, the measurement of haemoglobin and the</w:t>
      </w:r>
      <w:r w:rsidRPr="005271A7">
        <w:t xml:space="preserve"> computation of red cell indices</w:t>
      </w:r>
    </w:p>
    <w:p w:rsidR="00000000" w:rsidRPr="005271A7" w:rsidP="005271A7">
      <w:pPr>
        <w:pStyle w:val="ListBullet2"/>
      </w:pPr>
      <w:r w:rsidRPr="005271A7">
        <w:t>workplace procedures, test methods and equipment manuals.</w:t>
      </w:r>
    </w:p>
    <w:p w:rsidR="00E35010" w:rsidP="00E35010">
      <w:pPr>
        <w:pStyle w:val="BodyText"/>
      </w:pPr>
      <w:r w:rsidRPr="005271A7">
        <w:t>Assessors must satisfy the NVR/AQTF mandatory competency requirements for assessors.</w:t>
      </w:r>
    </w:p>
    <w:p w:rsidR="00000000" w:rsidRPr="005271A7" w:rsidP="005271A7">
      <w:pPr>
        <w:pStyle w:val="Heading1"/>
      </w:pPr>
      <w:bookmarkStart w:id="5" w:name="O_1258773"/>
      <w:bookmarkEnd w:id="5"/>
      <w:r w:rsidRPr="005271A7">
        <w:t>Links</w:t>
      </w:r>
    </w:p>
    <w:p w:rsidR="00000000" w:rsidRPr="005271A7" w:rsidP="00E35010">
      <w:pPr>
        <w:pStyle w:val="BodyText"/>
      </w:pPr>
      <w:r w:rsidRPr="005271A7">
        <w:t>MSL La</w:t>
      </w:r>
      <w:r w:rsidRPr="005271A7">
        <w:t xml:space="preserve">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62AF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271A7" w:rsidP="005271A7"/>
    <w:sectPr w:rsidSect="005271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1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1A7" w:rsidRPr="00E35010" w:rsidP="00E35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1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010" w:rsidP="00527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010" w:rsidP="00527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5010" w:rsidP="005271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1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1A7" w:rsidRPr="00E35010" w:rsidP="00E35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1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010" w:rsidRPr="002D2AF8" w:rsidP="00527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MSL975063 Perform haematological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E35010" w:rsidP="005271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BC85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42C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F8AD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1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1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1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1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1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1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1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1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1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1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1A7"/>
  </w:style>
  <w:style w:type="character" w:customStyle="1" w:styleId="Heading1Char">
    <w:name w:val="Heading 1 Char"/>
    <w:basedOn w:val="DefaultParagraphFont"/>
    <w:link w:val="Heading1"/>
    <w:rsid w:val="005271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1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1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1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71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71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1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71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1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1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1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1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1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1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1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1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1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1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1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1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1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1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1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71A7"/>
    <w:rPr>
      <w:b/>
      <w:spacing w:val="0"/>
    </w:rPr>
  </w:style>
  <w:style w:type="paragraph" w:customStyle="1" w:styleId="SuperTitle">
    <w:name w:val="SuperTitle"/>
    <w:basedOn w:val="Title"/>
    <w:rsid w:val="005271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1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1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71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1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1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1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1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1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1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1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1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1A7"/>
    <w:rPr>
      <w:i/>
    </w:rPr>
  </w:style>
  <w:style w:type="paragraph" w:styleId="Caption">
    <w:name w:val="caption"/>
    <w:basedOn w:val="BodyText"/>
    <w:next w:val="Normal"/>
    <w:qFormat/>
    <w:rsid w:val="005271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1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1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1A7"/>
  </w:style>
  <w:style w:type="paragraph" w:styleId="TableofFigures">
    <w:name w:val="table of figures"/>
    <w:basedOn w:val="Normal"/>
    <w:next w:val="Normal"/>
    <w:semiHidden/>
    <w:rsid w:val="005271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1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71A7"/>
    <w:rPr>
      <w:rFonts w:ascii="Wingdings" w:hAnsi="Wingdings"/>
    </w:rPr>
  </w:style>
  <w:style w:type="paragraph" w:customStyle="1" w:styleId="TableHeading">
    <w:name w:val="Table Heading"/>
    <w:basedOn w:val="HeadingBase"/>
    <w:rsid w:val="005271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1A7"/>
    <w:rPr>
      <w:color w:val="0033CC"/>
      <w:u w:val="none"/>
    </w:rPr>
  </w:style>
  <w:style w:type="paragraph" w:customStyle="1" w:styleId="BodyTextRight">
    <w:name w:val="Body Text Right"/>
    <w:basedOn w:val="BodyText"/>
    <w:rsid w:val="005271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1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1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1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1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1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1A7"/>
    <w:rPr>
      <w:sz w:val="32"/>
    </w:rPr>
  </w:style>
  <w:style w:type="paragraph" w:customStyle="1" w:styleId="HeadingProcedure">
    <w:name w:val="Heading Procedure"/>
    <w:basedOn w:val="HeadingBase"/>
    <w:next w:val="Normal"/>
    <w:rsid w:val="005271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1A7"/>
    <w:pPr>
      <w:spacing w:before="60" w:after="60"/>
    </w:pPr>
  </w:style>
  <w:style w:type="paragraph" w:styleId="ListContinue">
    <w:name w:val="List Continue"/>
    <w:basedOn w:val="List"/>
    <w:rsid w:val="005271A7"/>
    <w:pPr>
      <w:ind w:firstLine="0"/>
    </w:pPr>
  </w:style>
  <w:style w:type="paragraph" w:customStyle="1" w:styleId="ListNote">
    <w:name w:val="List Note"/>
    <w:basedOn w:val="List"/>
    <w:rsid w:val="005271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1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1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1A7"/>
    <w:rPr>
      <w:rFonts w:ascii="Courier New" w:hAnsi="Courier New"/>
    </w:rPr>
  </w:style>
  <w:style w:type="paragraph" w:customStyle="1" w:styleId="NoteBullet">
    <w:name w:val="Note Bullet"/>
    <w:basedOn w:val="Note"/>
    <w:rsid w:val="005271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1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1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1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1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71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1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1A7"/>
    <w:rPr>
      <w:b/>
      <w:smallCaps/>
    </w:rPr>
  </w:style>
  <w:style w:type="paragraph" w:customStyle="1" w:styleId="TableListNumber">
    <w:name w:val="Table List Number"/>
    <w:basedOn w:val="ListNumber"/>
    <w:rsid w:val="005271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1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1A7"/>
    <w:pPr>
      <w:numPr>
        <w:numId w:val="9"/>
      </w:numPr>
    </w:pPr>
  </w:style>
  <w:style w:type="paragraph" w:customStyle="1" w:styleId="ListAlpha2">
    <w:name w:val="List Alpha 2"/>
    <w:basedOn w:val="List2"/>
    <w:rsid w:val="005271A7"/>
    <w:pPr>
      <w:numPr>
        <w:numId w:val="8"/>
      </w:numPr>
    </w:pPr>
  </w:style>
  <w:style w:type="paragraph" w:styleId="List2">
    <w:name w:val="List 2"/>
    <w:basedOn w:val="BodyText"/>
    <w:rsid w:val="005271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1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1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1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1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1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71A7"/>
    <w:pPr>
      <w:numPr>
        <w:numId w:val="4"/>
      </w:numPr>
    </w:pPr>
  </w:style>
  <w:style w:type="paragraph" w:styleId="ListContinue2">
    <w:name w:val="List Continue 2"/>
    <w:basedOn w:val="List2"/>
    <w:rsid w:val="005271A7"/>
    <w:pPr>
      <w:ind w:firstLine="0"/>
    </w:pPr>
  </w:style>
  <w:style w:type="paragraph" w:styleId="ListContinue3">
    <w:name w:val="List Continue 3"/>
    <w:basedOn w:val="List3"/>
    <w:rsid w:val="005271A7"/>
    <w:pPr>
      <w:ind w:left="1021" w:firstLine="0"/>
    </w:pPr>
  </w:style>
  <w:style w:type="paragraph" w:styleId="ListContinue4">
    <w:name w:val="List Continue 4"/>
    <w:basedOn w:val="List4"/>
    <w:rsid w:val="005271A7"/>
    <w:pPr>
      <w:ind w:firstLine="0"/>
    </w:pPr>
  </w:style>
  <w:style w:type="paragraph" w:styleId="ListContinue5">
    <w:name w:val="List Continue 5"/>
    <w:basedOn w:val="List5"/>
    <w:rsid w:val="005271A7"/>
    <w:pPr>
      <w:ind w:firstLine="0"/>
    </w:pPr>
  </w:style>
  <w:style w:type="paragraph" w:styleId="ListNumber3">
    <w:name w:val="List Number 3"/>
    <w:basedOn w:val="List3"/>
    <w:rsid w:val="005271A7"/>
    <w:pPr>
      <w:numPr>
        <w:numId w:val="5"/>
      </w:numPr>
    </w:pPr>
  </w:style>
  <w:style w:type="paragraph" w:styleId="ListNumber4">
    <w:name w:val="List Number 4"/>
    <w:basedOn w:val="List4"/>
    <w:rsid w:val="005271A7"/>
    <w:pPr>
      <w:numPr>
        <w:numId w:val="6"/>
      </w:numPr>
    </w:pPr>
  </w:style>
  <w:style w:type="paragraph" w:styleId="ListNumber5">
    <w:name w:val="List Number 5"/>
    <w:basedOn w:val="List5"/>
    <w:rsid w:val="005271A7"/>
    <w:pPr>
      <w:numPr>
        <w:numId w:val="7"/>
      </w:numPr>
    </w:pPr>
  </w:style>
  <w:style w:type="paragraph" w:styleId="BlockText">
    <w:name w:val="Block Text"/>
    <w:basedOn w:val="Normal"/>
    <w:rsid w:val="005271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1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1A7"/>
    <w:rPr>
      <w:sz w:val="16"/>
      <w:vertAlign w:val="superscript"/>
    </w:rPr>
  </w:style>
  <w:style w:type="character" w:customStyle="1" w:styleId="Symbols">
    <w:name w:val="Symbols"/>
    <w:basedOn w:val="DefaultParagraphFont"/>
    <w:rsid w:val="005271A7"/>
    <w:rPr>
      <w:rFonts w:ascii="Symbol" w:hAnsi="Symbol"/>
    </w:rPr>
  </w:style>
  <w:style w:type="character" w:customStyle="1" w:styleId="MenuOptions">
    <w:name w:val="Menu Options"/>
    <w:basedOn w:val="DefaultParagraphFont"/>
    <w:rsid w:val="005271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1A7"/>
    <w:rPr>
      <w:b/>
    </w:rPr>
  </w:style>
  <w:style w:type="character" w:customStyle="1" w:styleId="Underlined">
    <w:name w:val="Underlined"/>
    <w:basedOn w:val="DefaultParagraphFont"/>
    <w:rsid w:val="005271A7"/>
    <w:rPr>
      <w:u w:val="single"/>
    </w:rPr>
  </w:style>
  <w:style w:type="paragraph" w:customStyle="1" w:styleId="TableBodyTextRight">
    <w:name w:val="Table Body Text Right"/>
    <w:basedOn w:val="TableBodyText"/>
    <w:rsid w:val="005271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1A7"/>
    <w:rPr>
      <w:sz w:val="18"/>
    </w:rPr>
  </w:style>
  <w:style w:type="paragraph" w:customStyle="1" w:styleId="BodySmallRight">
    <w:name w:val="Body Small Right"/>
    <w:basedOn w:val="BodyTextRight"/>
    <w:rsid w:val="005271A7"/>
    <w:rPr>
      <w:sz w:val="18"/>
      <w:szCs w:val="18"/>
    </w:rPr>
  </w:style>
  <w:style w:type="paragraph" w:customStyle="1" w:styleId="MarginEdition">
    <w:name w:val="Margin Edition"/>
    <w:basedOn w:val="MarginNote"/>
    <w:rsid w:val="005271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1A7"/>
    <w:rPr>
      <w:sz w:val="2"/>
      <w:szCs w:val="2"/>
    </w:rPr>
  </w:style>
  <w:style w:type="character" w:customStyle="1" w:styleId="Small">
    <w:name w:val="Small"/>
    <w:basedOn w:val="DefaultParagraphFont"/>
    <w:rsid w:val="005271A7"/>
    <w:rPr>
      <w:sz w:val="16"/>
    </w:rPr>
  </w:style>
  <w:style w:type="paragraph" w:customStyle="1" w:styleId="WideTable">
    <w:name w:val="Wide Table"/>
    <w:basedOn w:val="Normal"/>
    <w:rsid w:val="005271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1A7"/>
  </w:style>
  <w:style w:type="paragraph" w:styleId="Quote">
    <w:name w:val="Quote"/>
    <w:basedOn w:val="Heading1"/>
    <w:link w:val="QuoteChar"/>
    <w:qFormat/>
    <w:rsid w:val="005271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1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1A7"/>
    <w:pPr>
      <w:pageBreakBefore/>
    </w:pPr>
  </w:style>
  <w:style w:type="paragraph" w:customStyle="1" w:styleId="Border">
    <w:name w:val="Border"/>
    <w:basedOn w:val="Normal"/>
    <w:qFormat/>
    <w:rsid w:val="005271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1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1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1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1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1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1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1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1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1A7"/>
    <w:rPr>
      <w:u w:val="single"/>
    </w:rPr>
  </w:style>
  <w:style w:type="character" w:customStyle="1" w:styleId="BoldandItalics">
    <w:name w:val="Bold and Italics"/>
    <w:qFormat/>
    <w:rsid w:val="005271A7"/>
    <w:rPr>
      <w:b/>
      <w:i/>
      <w:u w:val="none"/>
    </w:rPr>
  </w:style>
  <w:style w:type="paragraph" w:styleId="BalloonText">
    <w:name w:val="Balloon Text"/>
    <w:basedOn w:val="Normal"/>
    <w:link w:val="BalloonTextChar"/>
    <w:rsid w:val="00527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1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1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1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1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1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1A7"/>
    <w:pPr>
      <w:spacing w:before="0" w:after="0"/>
    </w:pPr>
  </w:style>
  <w:style w:type="paragraph" w:customStyle="1" w:styleId="BodyTextBold">
    <w:name w:val="Body Text Bold"/>
    <w:basedOn w:val="BodyText"/>
    <w:qFormat/>
    <w:rsid w:val="005271A7"/>
    <w:rPr>
      <w:b/>
    </w:rPr>
  </w:style>
  <w:style w:type="character" w:styleId="Hyperlink">
    <w:name w:val="Hyperlink"/>
    <w:basedOn w:val="DefaultParagraphFont"/>
    <w:uiPriority w:val="99"/>
    <w:unhideWhenUsed/>
    <w:rsid w:val="00E35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4317</Characters>
  <Application>Microsoft Office Word</Application>
  <DocSecurity>0</DocSecurity>
  <Lines>102</Lines>
  <Paragraphs>81</Paragraphs>
  <ScaleCrop>false</ScaleCrop>
  <Company>Author-it Software Corporation Ltd.</Company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MSL975063 Perform haematological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2022-12-20T00:00:00Z</dcterms:created>
  <dcterms:modified xsi:type="dcterms:W3CDTF">2022-12-20T00:00:00Z</dcterms:modified>
</cp:coreProperties>
</file>