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FA8" w:rsidP="00486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MSL975062 Perform microbiological tests</w:t>
      </w:r>
      <w:r>
        <w:fldChar w:fldCharType="end"/>
      </w:r>
    </w:p>
    <w:p w:rsidR="00486FA8" w:rsidP="00486FA8">
      <w:pPr>
        <w:pStyle w:val="Version"/>
        <w:sectPr w:rsidSect="00172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5A2" w:rsidP="001725A2">
      <w:pPr>
        <w:pStyle w:val="SuperHeading"/>
      </w:pPr>
      <w:r w:rsidRPr="001725A2">
        <w:t>Assessment Requirements for MSL975062 Perform microbiological tests</w:t>
      </w:r>
    </w:p>
    <w:p w:rsidR="00000000" w:rsidRPr="001725A2" w:rsidP="001725A2">
      <w:pPr>
        <w:pStyle w:val="Heading1"/>
      </w:pPr>
      <w:bookmarkStart w:id="1" w:name="O_1258900"/>
      <w:bookmarkEnd w:id="1"/>
      <w:r w:rsidRPr="001725A2">
        <w:t>Modification History</w:t>
      </w:r>
    </w:p>
    <w:p w:rsidR="00000000" w:rsidRPr="001725A2" w:rsidP="00486FA8">
      <w:pPr>
        <w:pStyle w:val="BodyText"/>
      </w:pPr>
      <w:r w:rsidRPr="001725A2">
        <w:t xml:space="preserve">Release 1. Supersedes and equivalent to MSL975035 Perform microbiological tests. Clarified that unit applies to animals only – not animals and </w:t>
      </w:r>
      <w:r w:rsidRPr="001725A2">
        <w:t>plants. Minor changes to Performance Criteria. Oral communication removed from Foundation Skills as this is not a focus in the unit. Minor changes to Performance Evidence. Small number of items added to Knowledge Evidence to better reflect Performance Evid</w:t>
      </w:r>
      <w:r w:rsidRPr="001725A2">
        <w:t>ence and add content on more modern analysis methods.</w:t>
      </w:r>
    </w:p>
    <w:p w:rsidR="00000000" w:rsidRPr="001725A2" w:rsidP="001725A2">
      <w:pPr>
        <w:pStyle w:val="Heading1"/>
      </w:pPr>
      <w:bookmarkStart w:id="2" w:name="O_1258901"/>
      <w:bookmarkEnd w:id="2"/>
      <w:r w:rsidRPr="001725A2">
        <w:t>Performance Evidence</w:t>
      </w:r>
    </w:p>
    <w:p w:rsidR="00000000" w:rsidRPr="001725A2" w:rsidP="00486FA8">
      <w:pPr>
        <w:pStyle w:val="BodyText"/>
      </w:pPr>
      <w:r w:rsidRPr="001725A2">
        <w:t>There must be evidence the candidate has completed the tasks outlined in the elements and performance criteria of this unit, and:</w:t>
      </w:r>
    </w:p>
    <w:p w:rsidR="00000000" w:rsidRPr="001725A2" w:rsidP="001725A2">
      <w:pPr>
        <w:pStyle w:val="ListBullet"/>
      </w:pPr>
      <w:r w:rsidRPr="001725A2">
        <w:t>identified at least 5 microorga</w:t>
      </w:r>
      <w:r w:rsidRPr="001725A2">
        <w:t>nisms to species based on colonial/microscopic morphology, biochemistry and/or immunological characteristics, including: </w:t>
      </w:r>
    </w:p>
    <w:p w:rsidR="00000000" w:rsidRPr="001725A2" w:rsidP="001725A2">
      <w:pPr>
        <w:pStyle w:val="ListBullet2"/>
      </w:pPr>
      <w:r w:rsidRPr="001725A2">
        <w:t>at least 1 identification must be from a mixed culture</w:t>
      </w:r>
    </w:p>
    <w:p w:rsidR="00000000" w:rsidRPr="001725A2" w:rsidP="001725A2">
      <w:pPr>
        <w:pStyle w:val="ListBullet2"/>
      </w:pPr>
      <w:r w:rsidRPr="001725A2">
        <w:t>at least 4 from the following list: </w:t>
      </w:r>
    </w:p>
    <w:p w:rsidR="00000000" w:rsidRPr="001725A2" w:rsidP="001725A2">
      <w:pPr>
        <w:pStyle w:val="ListBullet3"/>
      </w:pPr>
      <w:r w:rsidRPr="001725A2">
        <w:t>Staphylococcus spp. or another Gram-posi</w:t>
      </w:r>
      <w:r w:rsidRPr="001725A2">
        <w:t>tive cocci</w:t>
      </w:r>
    </w:p>
    <w:p w:rsidR="00000000" w:rsidRPr="001725A2" w:rsidP="001725A2">
      <w:pPr>
        <w:pStyle w:val="ListBullet3"/>
      </w:pPr>
      <w:r w:rsidRPr="001725A2">
        <w:t>Streptococcus spp.</w:t>
      </w:r>
    </w:p>
    <w:p w:rsidR="00000000" w:rsidRPr="001725A2" w:rsidP="001725A2">
      <w:pPr>
        <w:pStyle w:val="ListBullet3"/>
      </w:pPr>
      <w:r w:rsidRPr="001725A2">
        <w:t>Pseudomonas spp.</w:t>
      </w:r>
    </w:p>
    <w:p w:rsidR="00000000" w:rsidRPr="001725A2" w:rsidP="001725A2">
      <w:pPr>
        <w:pStyle w:val="ListBullet3"/>
      </w:pPr>
      <w:r w:rsidRPr="001725A2">
        <w:t>a member of the Enterobacteriaceae family</w:t>
      </w:r>
    </w:p>
    <w:p w:rsidR="00000000" w:rsidRPr="001725A2" w:rsidP="001725A2">
      <w:pPr>
        <w:pStyle w:val="ListBullet3"/>
      </w:pPr>
      <w:r w:rsidRPr="001725A2">
        <w:t>Clostridium spp. or another Gram-positive rod</w:t>
      </w:r>
    </w:p>
    <w:p w:rsidR="00000000" w:rsidRPr="001725A2" w:rsidP="001725A2">
      <w:pPr>
        <w:pStyle w:val="ListBullet3"/>
      </w:pPr>
      <w:r w:rsidRPr="001725A2">
        <w:t>Fungi</w:t>
      </w:r>
    </w:p>
    <w:p w:rsidR="00000000" w:rsidRPr="001725A2" w:rsidP="001725A2">
      <w:pPr>
        <w:pStyle w:val="ListBullet"/>
      </w:pPr>
      <w:r w:rsidRPr="001725A2">
        <w:t xml:space="preserve">transferred materials aseptically to at least 1 solid culture and at least one 1 liquid culture, </w:t>
      </w:r>
      <w:r w:rsidRPr="001725A2">
        <w:t xml:space="preserve">including sterilising inoculating loops before and after transfer, protecting sample integrity and minimising opportunities for cross-contamination and infection and performing quality control checks to ensure aseptic transfer was successful. </w:t>
      </w:r>
    </w:p>
    <w:p w:rsidR="00000000" w:rsidRPr="001725A2" w:rsidP="001725A2">
      <w:pPr>
        <w:pStyle w:val="ListBullet"/>
      </w:pPr>
      <w:r w:rsidRPr="001725A2">
        <w:t>safely perfo</w:t>
      </w:r>
      <w:r w:rsidRPr="001725A2">
        <w:t xml:space="preserve">rmed at least 8 microbiological tests/procedures for culturing, isolating, identifying and counting microorganisms, including: </w:t>
      </w:r>
    </w:p>
    <w:p w:rsidR="00000000" w:rsidRPr="001725A2" w:rsidP="001725A2">
      <w:pPr>
        <w:pStyle w:val="ListBullet2"/>
      </w:pPr>
      <w:r w:rsidRPr="001725A2">
        <w:t>consistently and accurately performing and interpreting Gram staining of bacteria</w:t>
      </w:r>
    </w:p>
    <w:p w:rsidR="00000000" w:rsidRPr="001725A2" w:rsidP="001725A2">
      <w:pPr>
        <w:pStyle w:val="ListBullet2"/>
      </w:pPr>
      <w:r w:rsidRPr="001725A2">
        <w:t>using and interpreting common enriched, differential and selective media</w:t>
      </w:r>
    </w:p>
    <w:p w:rsidR="00000000" w:rsidRPr="001725A2" w:rsidP="001725A2">
      <w:pPr>
        <w:pStyle w:val="ListBullet2"/>
      </w:pPr>
      <w:r w:rsidRPr="001725A2">
        <w:t>performing agglutination techniques</w:t>
      </w:r>
    </w:p>
    <w:p w:rsidR="00000000" w:rsidRPr="001725A2" w:rsidP="001725A2">
      <w:pPr>
        <w:pStyle w:val="ListBullet2"/>
      </w:pPr>
      <w:r w:rsidRPr="001725A2">
        <w:t>coagulase testing</w:t>
      </w:r>
    </w:p>
    <w:p w:rsidR="00000000" w:rsidRPr="001725A2" w:rsidP="001725A2">
      <w:pPr>
        <w:pStyle w:val="ListBullet2"/>
      </w:pPr>
      <w:r w:rsidRPr="001725A2">
        <w:t>oxidase testing</w:t>
      </w:r>
    </w:p>
    <w:p w:rsidR="00000000" w:rsidRPr="001725A2" w:rsidP="001725A2">
      <w:pPr>
        <w:pStyle w:val="ListBullet2"/>
      </w:pPr>
      <w:r w:rsidRPr="001725A2">
        <w:t>catalase testing</w:t>
      </w:r>
    </w:p>
    <w:p w:rsidR="00000000" w:rsidRPr="001725A2" w:rsidP="001725A2">
      <w:pPr>
        <w:pStyle w:val="ListBullet2"/>
      </w:pPr>
      <w:r w:rsidRPr="001725A2">
        <w:t>use a biochemical test system with statistical interpretation</w:t>
      </w:r>
    </w:p>
    <w:p w:rsidR="00000000" w:rsidRPr="001725A2" w:rsidP="001725A2">
      <w:pPr>
        <w:pStyle w:val="ListBullet2"/>
      </w:pPr>
      <w:r w:rsidRPr="001725A2">
        <w:t>antibiotic sensitivity testing and</w:t>
      </w:r>
      <w:r w:rsidRPr="001725A2">
        <w:t xml:space="preserve"> interpretation</w:t>
      </w:r>
    </w:p>
    <w:p w:rsidR="00000000" w:rsidRPr="001725A2" w:rsidP="001725A2">
      <w:pPr>
        <w:pStyle w:val="ListBullet"/>
      </w:pPr>
      <w:r w:rsidRPr="001725A2">
        <w:t>completing work in ways that avoid contamination of:</w:t>
      </w:r>
    </w:p>
    <w:p w:rsidR="00000000" w:rsidRPr="001725A2" w:rsidP="001725A2">
      <w:pPr>
        <w:pStyle w:val="ListBullet2"/>
      </w:pPr>
      <w:r w:rsidRPr="001725A2">
        <w:t>self, other people, the work area, equipment or the samples or materials under test</w:t>
      </w:r>
    </w:p>
    <w:p w:rsidR="00486FA8" w:rsidP="001725A2">
      <w:pPr>
        <w:pStyle w:val="ListBullet2"/>
      </w:pPr>
      <w:r w:rsidRPr="001725A2">
        <w:t>media or reagents during manipulations involving the transfer of cultures.</w:t>
      </w:r>
    </w:p>
    <w:p w:rsidR="00486FA8" w:rsidP="001725A2">
      <w:pPr>
        <w:pStyle w:val="ListBullet2"/>
      </w:pPr>
    </w:p>
    <w:p w:rsidR="00000000" w:rsidRPr="001725A2" w:rsidP="001725A2">
      <w:pPr>
        <w:pStyle w:val="Heading1"/>
      </w:pPr>
      <w:bookmarkStart w:id="3" w:name="O_1258902"/>
      <w:bookmarkEnd w:id="3"/>
      <w:r w:rsidRPr="001725A2">
        <w:t>Knowle</w:t>
      </w:r>
      <w:r w:rsidRPr="001725A2">
        <w:t>dge Evidence</w:t>
      </w:r>
    </w:p>
    <w:p w:rsidR="00000000" w:rsidRPr="001725A2" w:rsidP="00486FA8">
      <w:pPr>
        <w:pStyle w:val="BodyText"/>
      </w:pPr>
      <w:r w:rsidRPr="001725A2">
        <w:t>There must be evidence the candidate has knowledge of:</w:t>
      </w:r>
    </w:p>
    <w:p w:rsidR="00000000" w:rsidRPr="001725A2" w:rsidP="001725A2">
      <w:pPr>
        <w:pStyle w:val="ListBullet"/>
      </w:pPr>
      <w:r w:rsidRPr="001725A2">
        <w:t>microbiological terminology, including bacteriology, parasitology, virology and mycology</w:t>
      </w:r>
    </w:p>
    <w:p w:rsidR="00000000" w:rsidRPr="001725A2" w:rsidP="001725A2">
      <w:pPr>
        <w:pStyle w:val="ListBullet"/>
      </w:pPr>
      <w:r w:rsidRPr="001725A2">
        <w:t>mi</w:t>
      </w:r>
      <w:r w:rsidRPr="001725A2">
        <w:t>crobial control techniques, including disinfection and sterilisation as applied to practical aspects of microbiology</w:t>
      </w:r>
    </w:p>
    <w:p w:rsidR="00000000" w:rsidRPr="001725A2" w:rsidP="001725A2">
      <w:pPr>
        <w:pStyle w:val="ListBullet"/>
      </w:pPr>
      <w:r w:rsidRPr="001725A2">
        <w:t>relationship between sample microscopic and macroscopic appearance and indications of infection and/or contamination</w:t>
      </w:r>
    </w:p>
    <w:p w:rsidR="00000000" w:rsidRPr="001725A2" w:rsidP="001725A2">
      <w:pPr>
        <w:pStyle w:val="ListBullet"/>
      </w:pPr>
      <w:r w:rsidRPr="001725A2">
        <w:t>microbial diversity an</w:t>
      </w:r>
      <w:r w:rsidRPr="001725A2">
        <w:t>d taxonomy</w:t>
      </w:r>
    </w:p>
    <w:p w:rsidR="00000000" w:rsidRPr="001725A2" w:rsidP="001725A2">
      <w:pPr>
        <w:pStyle w:val="ListBullet"/>
      </w:pPr>
      <w:r w:rsidRPr="001725A2">
        <w:t>microorganism structures and functions</w:t>
      </w:r>
    </w:p>
    <w:p w:rsidR="00000000" w:rsidRPr="001725A2" w:rsidP="001725A2">
      <w:pPr>
        <w:pStyle w:val="ListBullet"/>
      </w:pPr>
      <w:r w:rsidRPr="001725A2">
        <w:t>cell biology and chemistry related to the differential growth, isolation and identification of microorganisms</w:t>
      </w:r>
    </w:p>
    <w:p w:rsidR="00000000" w:rsidRPr="001725A2" w:rsidP="001725A2">
      <w:pPr>
        <w:pStyle w:val="ListBullet"/>
      </w:pPr>
      <w:r w:rsidRPr="001725A2">
        <w:t>sources of infection, including food, environment, social and physical contact, animals and medi</w:t>
      </w:r>
      <w:r w:rsidRPr="001725A2">
        <w:t xml:space="preserve">cal equipment/facilities and sources of contamination  </w:t>
      </w:r>
    </w:p>
    <w:p w:rsidR="00000000" w:rsidRPr="001725A2" w:rsidP="001725A2">
      <w:pPr>
        <w:pStyle w:val="ListBullet"/>
      </w:pPr>
      <w:r w:rsidRPr="001725A2">
        <w:t xml:space="preserve">basic principles of innate and acquired immunity as they relate the respiratory, urinary, digestive and lymphatic/immune system  </w:t>
      </w:r>
    </w:p>
    <w:p w:rsidR="00000000" w:rsidRPr="001725A2" w:rsidP="001725A2">
      <w:pPr>
        <w:pStyle w:val="ListBullet"/>
      </w:pPr>
      <w:r w:rsidRPr="001725A2">
        <w:t>microorganisms of importance to job role and their key characteristics</w:t>
      </w:r>
      <w:r w:rsidRPr="001725A2">
        <w:t xml:space="preserve"> used for identification</w:t>
      </w:r>
    </w:p>
    <w:p w:rsidR="00000000" w:rsidRPr="001725A2" w:rsidP="001725A2">
      <w:pPr>
        <w:pStyle w:val="ListBullet"/>
      </w:pPr>
      <w:r w:rsidRPr="001725A2">
        <w:t>transport and storage requirements for microbiological samples to ensure sample integrity prior and post testing</w:t>
      </w:r>
    </w:p>
    <w:p w:rsidR="00000000" w:rsidRPr="001725A2" w:rsidP="001725A2">
      <w:pPr>
        <w:pStyle w:val="ListBullet"/>
      </w:pPr>
      <w:r w:rsidRPr="001725A2">
        <w:t xml:space="preserve">the importance of maintaining reference cultures and the use of controls in microbiological testing </w:t>
      </w:r>
    </w:p>
    <w:p w:rsidR="00000000" w:rsidRPr="001725A2" w:rsidP="001725A2">
      <w:pPr>
        <w:pStyle w:val="ListBullet"/>
      </w:pPr>
      <w:r w:rsidRPr="001725A2">
        <w:t>technological adv</w:t>
      </w:r>
      <w:r w:rsidRPr="001725A2">
        <w:t>ances in microbiology including automation for identification, enumeration, susceptibility testing and total laboratory automation</w:t>
      </w:r>
    </w:p>
    <w:p w:rsidR="00000000" w:rsidRPr="001725A2" w:rsidP="001725A2">
      <w:pPr>
        <w:pStyle w:val="ListBullet"/>
      </w:pPr>
      <w:r w:rsidRPr="001725A2">
        <w:t>procedures and reporting requirements for microbiological spills</w:t>
      </w:r>
    </w:p>
    <w:p w:rsidR="00000000" w:rsidRPr="001725A2" w:rsidP="001725A2">
      <w:pPr>
        <w:pStyle w:val="ListBullet"/>
      </w:pPr>
      <w:r w:rsidRPr="001725A2">
        <w:t xml:space="preserve">purpose of biochemical test, media types and susceptibility </w:t>
      </w:r>
      <w:r w:rsidRPr="001725A2">
        <w:t>testing implemented (why they are used and what they demonstrate)</w:t>
      </w:r>
    </w:p>
    <w:p w:rsidR="00000000" w:rsidRPr="001725A2" w:rsidP="001725A2">
      <w:pPr>
        <w:pStyle w:val="ListBullet"/>
      </w:pPr>
      <w:r w:rsidRPr="001725A2">
        <w:t>application of molecular and serological testing in microbiology, including the role of antigens and antibodies in disease diagnosis</w:t>
      </w:r>
    </w:p>
    <w:p w:rsidR="00000000" w:rsidRPr="001725A2" w:rsidP="001725A2">
      <w:pPr>
        <w:pStyle w:val="ListBullet"/>
      </w:pPr>
      <w:r w:rsidRPr="001725A2">
        <w:t>current and emerging methods of analysis for microbiology</w:t>
      </w:r>
      <w:r w:rsidRPr="001725A2">
        <w:t xml:space="preserve"> specimens</w:t>
      </w:r>
    </w:p>
    <w:p w:rsidR="00000000" w:rsidRPr="001725A2" w:rsidP="001725A2">
      <w:pPr>
        <w:pStyle w:val="ListBullet"/>
      </w:pPr>
      <w:r w:rsidRPr="001725A2">
        <w:t>importance of genetics in microbiology</w:t>
      </w:r>
    </w:p>
    <w:p w:rsidR="00000000" w:rsidRPr="001725A2" w:rsidP="001725A2">
      <w:pPr>
        <w:pStyle w:val="ListBullet"/>
      </w:pPr>
      <w:r w:rsidRPr="001725A2">
        <w:t>general criteria used for the identification of:</w:t>
      </w:r>
    </w:p>
    <w:p w:rsidR="00000000" w:rsidRPr="001725A2" w:rsidP="001725A2">
      <w:pPr>
        <w:pStyle w:val="ListBullet2"/>
      </w:pPr>
      <w:r w:rsidRPr="001725A2">
        <w:t>parasites</w:t>
      </w:r>
    </w:p>
    <w:p w:rsidR="00000000" w:rsidRPr="001725A2" w:rsidP="001725A2">
      <w:pPr>
        <w:pStyle w:val="ListBullet2"/>
      </w:pPr>
      <w:r w:rsidRPr="001725A2">
        <w:t>fungi and yeasts</w:t>
      </w:r>
    </w:p>
    <w:p w:rsidR="00000000" w:rsidRPr="001725A2" w:rsidP="001725A2">
      <w:pPr>
        <w:pStyle w:val="ListBullet2"/>
      </w:pPr>
      <w:r w:rsidRPr="001725A2">
        <w:t>viruses</w:t>
      </w:r>
    </w:p>
    <w:p w:rsidR="00000000" w:rsidRPr="001725A2" w:rsidP="001725A2">
      <w:pPr>
        <w:pStyle w:val="ListBullet"/>
      </w:pPr>
      <w:r w:rsidRPr="001725A2">
        <w:t xml:space="preserve">rationale for sample dilution and appropriate dilution selection when preparing materials </w:t>
      </w:r>
      <w:r w:rsidRPr="001725A2">
        <w:t>for enumerating organisms and other pure culture work</w:t>
      </w:r>
    </w:p>
    <w:p w:rsidR="00000000" w:rsidRPr="001725A2" w:rsidP="001725A2">
      <w:pPr>
        <w:pStyle w:val="ListBullet"/>
      </w:pPr>
      <w:r w:rsidRPr="001725A2">
        <w:t>need for accurate identification of sample source (such as body site, specimen type, process line or field location)</w:t>
      </w:r>
    </w:p>
    <w:p w:rsidR="00000000" w:rsidRPr="001725A2" w:rsidP="001725A2">
      <w:pPr>
        <w:pStyle w:val="ListBullet"/>
      </w:pPr>
      <w:r w:rsidRPr="001725A2">
        <w:t>environmental sustainability issues as they relate to the work task</w:t>
      </w:r>
    </w:p>
    <w:p w:rsidR="00486FA8" w:rsidP="001725A2">
      <w:pPr>
        <w:pStyle w:val="ListBullet"/>
      </w:pPr>
      <w:r w:rsidRPr="001725A2">
        <w:t>legal, ethical an</w:t>
      </w:r>
      <w:r w:rsidRPr="001725A2">
        <w:t>d work health and safety (WHS) requirements specific to the work task including traceability, confidentiality and security requirements of all clinical information, and laboratory data and records.</w:t>
      </w:r>
    </w:p>
    <w:p w:rsidR="00486FA8" w:rsidP="001725A2">
      <w:pPr>
        <w:pStyle w:val="ListBullet"/>
      </w:pPr>
    </w:p>
    <w:p w:rsidR="00000000" w:rsidRPr="001725A2" w:rsidP="001725A2">
      <w:pPr>
        <w:pStyle w:val="Heading1"/>
      </w:pPr>
      <w:bookmarkStart w:id="4" w:name="O_1258903"/>
      <w:bookmarkEnd w:id="4"/>
      <w:r w:rsidRPr="001725A2">
        <w:t>Assessment Conditions</w:t>
      </w:r>
    </w:p>
    <w:p w:rsidR="00000000" w:rsidRPr="001725A2" w:rsidP="00486FA8">
      <w:pPr>
        <w:pStyle w:val="BodyText"/>
      </w:pPr>
      <w:r w:rsidRPr="001725A2">
        <w:t>Skills must have</w:t>
      </w:r>
      <w:r w:rsidRPr="001725A2">
        <w:t xml:space="preserve"> been demonstrated in the workplace or in a simulated environment that reflects workplace conditions and contingencies. The following conditions must be met for this unit: </w:t>
      </w:r>
    </w:p>
    <w:p w:rsidR="00000000" w:rsidRPr="001725A2" w:rsidP="001725A2">
      <w:pPr>
        <w:pStyle w:val="ListBullet"/>
      </w:pPr>
      <w:r w:rsidRPr="001725A2">
        <w:t xml:space="preserve">use of suitable facilities, equipment and resources, including: </w:t>
      </w:r>
    </w:p>
    <w:p w:rsidR="00000000" w:rsidRPr="001725A2" w:rsidP="001725A2">
      <w:pPr>
        <w:pStyle w:val="ListBullet2"/>
      </w:pPr>
      <w:r w:rsidRPr="001725A2">
        <w:t>a standard micro</w:t>
      </w:r>
      <w:r w:rsidRPr="001725A2">
        <w:t>biology laboratory with relevant samples; reagents; protective and physical containment equipment; sample preparation and storage equipment; test equipment, such as microscopes and counters; and sterilising equipment, such as autoclaves</w:t>
      </w:r>
    </w:p>
    <w:p w:rsidR="00000000" w:rsidRPr="001725A2" w:rsidP="001725A2">
      <w:pPr>
        <w:pStyle w:val="ListBullet2"/>
      </w:pPr>
      <w:r w:rsidRPr="001725A2">
        <w:t>workplace procedure</w:t>
      </w:r>
      <w:r w:rsidRPr="001725A2">
        <w:t>s, test methods and equipment manuals.</w:t>
      </w:r>
    </w:p>
    <w:p w:rsidR="00486FA8" w:rsidP="00486FA8">
      <w:pPr>
        <w:pStyle w:val="BodyText"/>
      </w:pPr>
      <w:r w:rsidRPr="001725A2">
        <w:t>Assessors must satisfy the NVR/AQTF mandatory competency requirements for assessors.</w:t>
      </w:r>
    </w:p>
    <w:p w:rsidR="00000000" w:rsidRPr="001725A2" w:rsidP="001725A2">
      <w:pPr>
        <w:pStyle w:val="Heading1"/>
      </w:pPr>
      <w:bookmarkStart w:id="5" w:name="O_1258906"/>
      <w:bookmarkEnd w:id="5"/>
      <w:r w:rsidRPr="001725A2">
        <w:t>Links</w:t>
      </w:r>
    </w:p>
    <w:p w:rsidR="00000000" w:rsidRPr="001725A2" w:rsidP="00486FA8">
      <w:pPr>
        <w:pStyle w:val="BodyText"/>
      </w:pPr>
      <w:r w:rsidRPr="001725A2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050C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725A2" w:rsidP="001725A2"/>
    <w:sectPr w:rsidSect="001725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A2" w:rsidRPr="00486FA8" w:rsidP="00486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A8" w:rsidP="00172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FA8" w:rsidP="00172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6FA8" w:rsidP="00172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5A2" w:rsidRPr="00486FA8" w:rsidP="00486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FA8" w:rsidRPr="002D2AF8" w:rsidP="00172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MSL975062 Perform microbiological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86FA8" w:rsidP="00172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94B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62A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4EA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5A2"/>
  </w:style>
  <w:style w:type="character" w:customStyle="1" w:styleId="Heading1Char">
    <w:name w:val="Heading 1 Char"/>
    <w:basedOn w:val="DefaultParagraphFont"/>
    <w:link w:val="Heading1"/>
    <w:rsid w:val="00172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5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5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25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25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2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5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5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5A2"/>
    <w:rPr>
      <w:b/>
      <w:spacing w:val="0"/>
    </w:rPr>
  </w:style>
  <w:style w:type="paragraph" w:customStyle="1" w:styleId="SuperTitle">
    <w:name w:val="SuperTitle"/>
    <w:basedOn w:val="Title"/>
    <w:rsid w:val="00172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5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5A2"/>
    <w:rPr>
      <w:i/>
    </w:rPr>
  </w:style>
  <w:style w:type="paragraph" w:styleId="Caption">
    <w:name w:val="caption"/>
    <w:basedOn w:val="BodyText"/>
    <w:next w:val="Normal"/>
    <w:qFormat/>
    <w:rsid w:val="00172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5A2"/>
  </w:style>
  <w:style w:type="paragraph" w:styleId="TableofFigures">
    <w:name w:val="table of figures"/>
    <w:basedOn w:val="Normal"/>
    <w:next w:val="Normal"/>
    <w:semiHidden/>
    <w:rsid w:val="00172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5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25A2"/>
    <w:rPr>
      <w:rFonts w:ascii="Wingdings" w:hAnsi="Wingdings"/>
    </w:rPr>
  </w:style>
  <w:style w:type="paragraph" w:customStyle="1" w:styleId="TableHeading">
    <w:name w:val="Table Heading"/>
    <w:basedOn w:val="HeadingBase"/>
    <w:rsid w:val="00172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5A2"/>
    <w:rPr>
      <w:color w:val="0033CC"/>
      <w:u w:val="none"/>
    </w:rPr>
  </w:style>
  <w:style w:type="paragraph" w:customStyle="1" w:styleId="BodyTextRight">
    <w:name w:val="Body Text Right"/>
    <w:basedOn w:val="BodyText"/>
    <w:rsid w:val="00172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5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5A2"/>
    <w:rPr>
      <w:sz w:val="32"/>
    </w:rPr>
  </w:style>
  <w:style w:type="paragraph" w:customStyle="1" w:styleId="HeadingProcedure">
    <w:name w:val="Heading Procedure"/>
    <w:basedOn w:val="HeadingBase"/>
    <w:next w:val="Normal"/>
    <w:rsid w:val="00172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5A2"/>
    <w:pPr>
      <w:spacing w:before="60" w:after="60"/>
    </w:pPr>
  </w:style>
  <w:style w:type="paragraph" w:styleId="ListContinue">
    <w:name w:val="List Continue"/>
    <w:basedOn w:val="List"/>
    <w:rsid w:val="001725A2"/>
    <w:pPr>
      <w:ind w:firstLine="0"/>
    </w:pPr>
  </w:style>
  <w:style w:type="paragraph" w:customStyle="1" w:styleId="ListNote">
    <w:name w:val="List Note"/>
    <w:basedOn w:val="List"/>
    <w:rsid w:val="00172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5A2"/>
    <w:rPr>
      <w:rFonts w:ascii="Courier New" w:hAnsi="Courier New"/>
    </w:rPr>
  </w:style>
  <w:style w:type="paragraph" w:customStyle="1" w:styleId="NoteBullet">
    <w:name w:val="Note Bullet"/>
    <w:basedOn w:val="Note"/>
    <w:rsid w:val="00172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5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2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5A2"/>
    <w:rPr>
      <w:b/>
      <w:smallCaps/>
    </w:rPr>
  </w:style>
  <w:style w:type="paragraph" w:customStyle="1" w:styleId="TableListNumber">
    <w:name w:val="Table List Number"/>
    <w:basedOn w:val="ListNumber"/>
    <w:rsid w:val="00172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5A2"/>
    <w:pPr>
      <w:numPr>
        <w:numId w:val="10"/>
      </w:numPr>
    </w:pPr>
  </w:style>
  <w:style w:type="paragraph" w:customStyle="1" w:styleId="ListAlpha2">
    <w:name w:val="List Alpha 2"/>
    <w:basedOn w:val="List2"/>
    <w:rsid w:val="001725A2"/>
    <w:pPr>
      <w:numPr>
        <w:numId w:val="9"/>
      </w:numPr>
    </w:pPr>
  </w:style>
  <w:style w:type="paragraph" w:styleId="List2">
    <w:name w:val="List 2"/>
    <w:basedOn w:val="BodyText"/>
    <w:rsid w:val="00172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5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25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25A2"/>
    <w:pPr>
      <w:numPr>
        <w:numId w:val="5"/>
      </w:numPr>
    </w:pPr>
  </w:style>
  <w:style w:type="paragraph" w:styleId="ListContinue2">
    <w:name w:val="List Continue 2"/>
    <w:basedOn w:val="List2"/>
    <w:rsid w:val="001725A2"/>
    <w:pPr>
      <w:ind w:firstLine="0"/>
    </w:pPr>
  </w:style>
  <w:style w:type="paragraph" w:styleId="ListContinue3">
    <w:name w:val="List Continue 3"/>
    <w:basedOn w:val="List3"/>
    <w:rsid w:val="001725A2"/>
    <w:pPr>
      <w:ind w:left="1021" w:firstLine="0"/>
    </w:pPr>
  </w:style>
  <w:style w:type="paragraph" w:styleId="ListContinue4">
    <w:name w:val="List Continue 4"/>
    <w:basedOn w:val="List4"/>
    <w:rsid w:val="001725A2"/>
    <w:pPr>
      <w:ind w:firstLine="0"/>
    </w:pPr>
  </w:style>
  <w:style w:type="paragraph" w:styleId="ListContinue5">
    <w:name w:val="List Continue 5"/>
    <w:basedOn w:val="List5"/>
    <w:rsid w:val="001725A2"/>
    <w:pPr>
      <w:ind w:firstLine="0"/>
    </w:pPr>
  </w:style>
  <w:style w:type="paragraph" w:styleId="ListNumber3">
    <w:name w:val="List Number 3"/>
    <w:basedOn w:val="List3"/>
    <w:rsid w:val="001725A2"/>
    <w:pPr>
      <w:numPr>
        <w:numId w:val="6"/>
      </w:numPr>
    </w:pPr>
  </w:style>
  <w:style w:type="paragraph" w:styleId="ListNumber4">
    <w:name w:val="List Number 4"/>
    <w:basedOn w:val="List4"/>
    <w:rsid w:val="001725A2"/>
    <w:pPr>
      <w:numPr>
        <w:numId w:val="7"/>
      </w:numPr>
    </w:pPr>
  </w:style>
  <w:style w:type="paragraph" w:styleId="ListNumber5">
    <w:name w:val="List Number 5"/>
    <w:basedOn w:val="List5"/>
    <w:rsid w:val="001725A2"/>
    <w:pPr>
      <w:numPr>
        <w:numId w:val="8"/>
      </w:numPr>
    </w:pPr>
  </w:style>
  <w:style w:type="paragraph" w:styleId="BlockText">
    <w:name w:val="Block Text"/>
    <w:basedOn w:val="Normal"/>
    <w:rsid w:val="00172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5A2"/>
    <w:rPr>
      <w:sz w:val="16"/>
      <w:vertAlign w:val="superscript"/>
    </w:rPr>
  </w:style>
  <w:style w:type="character" w:customStyle="1" w:styleId="Symbols">
    <w:name w:val="Symbols"/>
    <w:basedOn w:val="DefaultParagraphFont"/>
    <w:rsid w:val="001725A2"/>
    <w:rPr>
      <w:rFonts w:ascii="Symbol" w:hAnsi="Symbol"/>
    </w:rPr>
  </w:style>
  <w:style w:type="character" w:customStyle="1" w:styleId="MenuOptions">
    <w:name w:val="Menu Options"/>
    <w:basedOn w:val="DefaultParagraphFont"/>
    <w:rsid w:val="00172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5A2"/>
    <w:rPr>
      <w:b/>
    </w:rPr>
  </w:style>
  <w:style w:type="character" w:customStyle="1" w:styleId="Underlined">
    <w:name w:val="Underlined"/>
    <w:basedOn w:val="DefaultParagraphFont"/>
    <w:rsid w:val="001725A2"/>
    <w:rPr>
      <w:u w:val="single"/>
    </w:rPr>
  </w:style>
  <w:style w:type="paragraph" w:customStyle="1" w:styleId="TableBodyTextRight">
    <w:name w:val="Table Body Text Right"/>
    <w:basedOn w:val="TableBodyText"/>
    <w:rsid w:val="00172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5A2"/>
    <w:rPr>
      <w:sz w:val="18"/>
    </w:rPr>
  </w:style>
  <w:style w:type="paragraph" w:customStyle="1" w:styleId="BodySmallRight">
    <w:name w:val="Body Small Right"/>
    <w:basedOn w:val="BodyTextRight"/>
    <w:rsid w:val="001725A2"/>
    <w:rPr>
      <w:sz w:val="18"/>
      <w:szCs w:val="18"/>
    </w:rPr>
  </w:style>
  <w:style w:type="paragraph" w:customStyle="1" w:styleId="MarginEdition">
    <w:name w:val="Margin Edition"/>
    <w:basedOn w:val="MarginNote"/>
    <w:rsid w:val="00172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5A2"/>
    <w:rPr>
      <w:sz w:val="2"/>
      <w:szCs w:val="2"/>
    </w:rPr>
  </w:style>
  <w:style w:type="character" w:customStyle="1" w:styleId="Small">
    <w:name w:val="Small"/>
    <w:basedOn w:val="DefaultParagraphFont"/>
    <w:rsid w:val="001725A2"/>
    <w:rPr>
      <w:sz w:val="16"/>
    </w:rPr>
  </w:style>
  <w:style w:type="paragraph" w:customStyle="1" w:styleId="WideTable">
    <w:name w:val="Wide Table"/>
    <w:basedOn w:val="Normal"/>
    <w:rsid w:val="00172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5A2"/>
  </w:style>
  <w:style w:type="paragraph" w:styleId="Quote">
    <w:name w:val="Quote"/>
    <w:basedOn w:val="Heading1"/>
    <w:link w:val="QuoteChar"/>
    <w:qFormat/>
    <w:rsid w:val="00172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5A2"/>
    <w:pPr>
      <w:pageBreakBefore/>
    </w:pPr>
  </w:style>
  <w:style w:type="paragraph" w:customStyle="1" w:styleId="Border">
    <w:name w:val="Border"/>
    <w:basedOn w:val="Normal"/>
    <w:qFormat/>
    <w:rsid w:val="00172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5A2"/>
    <w:rPr>
      <w:u w:val="single"/>
    </w:rPr>
  </w:style>
  <w:style w:type="character" w:customStyle="1" w:styleId="BoldandItalics">
    <w:name w:val="Bold and Italics"/>
    <w:qFormat/>
    <w:rsid w:val="001725A2"/>
    <w:rPr>
      <w:b/>
      <w:i/>
      <w:u w:val="none"/>
    </w:rPr>
  </w:style>
  <w:style w:type="paragraph" w:styleId="BalloonText">
    <w:name w:val="Balloon Text"/>
    <w:basedOn w:val="Normal"/>
    <w:link w:val="BalloonTextChar"/>
    <w:rsid w:val="00172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5A2"/>
    <w:pPr>
      <w:spacing w:before="0" w:after="0"/>
    </w:pPr>
  </w:style>
  <w:style w:type="paragraph" w:customStyle="1" w:styleId="BodyTextBold">
    <w:name w:val="Body Text Bold"/>
    <w:basedOn w:val="BodyText"/>
    <w:qFormat/>
    <w:rsid w:val="001725A2"/>
    <w:rPr>
      <w:b/>
    </w:rPr>
  </w:style>
  <w:style w:type="character" w:styleId="Hyperlink">
    <w:name w:val="Hyperlink"/>
    <w:basedOn w:val="DefaultParagraphFont"/>
    <w:uiPriority w:val="99"/>
    <w:unhideWhenUsed/>
    <w:rsid w:val="00486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4933</Characters>
  <Application>Microsoft Office Word</Application>
  <DocSecurity>0</DocSecurity>
  <Lines>107</Lines>
  <Paragraphs>74</Paragraphs>
  <ScaleCrop>false</ScaleCrop>
  <Company>Author-it Software Corporation Ltd.</Company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MSL975062 Perform microbiological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2022-12-19T23:56:00Z</dcterms:created>
  <dcterms:modified xsi:type="dcterms:W3CDTF">2022-12-19T23:57:00Z</dcterms:modified>
</cp:coreProperties>
</file>