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1B0" w:rsidP="00A66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MSL975058 Perform immunohaematological tests</w:t>
      </w:r>
      <w:r>
        <w:fldChar w:fldCharType="end"/>
      </w:r>
    </w:p>
    <w:p w:rsidR="00A661B0" w:rsidP="00A661B0">
      <w:pPr>
        <w:pStyle w:val="Version"/>
        <w:sectPr w:rsidSect="009B2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9F0" w:rsidP="009B29F0">
      <w:pPr>
        <w:pStyle w:val="SuperHeading"/>
      </w:pPr>
      <w:r w:rsidRPr="009B29F0">
        <w:t>MSL975058 Perform immunohaematological tests</w:t>
      </w:r>
    </w:p>
    <w:p w:rsidR="00000000" w:rsidRPr="009B29F0" w:rsidP="009B29F0">
      <w:pPr>
        <w:pStyle w:val="Heading1"/>
      </w:pPr>
      <w:bookmarkStart w:id="1" w:name="O_1258814"/>
      <w:bookmarkEnd w:id="1"/>
      <w:r w:rsidRPr="009B29F0">
        <w:t>Modification History</w:t>
      </w:r>
    </w:p>
    <w:p w:rsidR="00000000" w:rsidRPr="009B29F0" w:rsidP="00A661B0">
      <w:pPr>
        <w:pStyle w:val="BodyText"/>
      </w:pPr>
      <w:r w:rsidRPr="009B29F0">
        <w:t>Release 1. Supersedes and equivalent to MSL975030 Perform immunohaematological tests. Minor changes to Performance Criteria, Performance Evidence and Knowledge Evidence.</w:t>
      </w:r>
    </w:p>
    <w:p w:rsidR="00000000" w:rsidRPr="009B29F0" w:rsidP="009B29F0">
      <w:pPr>
        <w:pStyle w:val="Heading1"/>
      </w:pPr>
      <w:bookmarkStart w:id="2" w:name="O_1258815"/>
      <w:bookmarkEnd w:id="2"/>
      <w:r w:rsidRPr="009B29F0">
        <w:t>Application</w:t>
      </w:r>
    </w:p>
    <w:p w:rsidR="00000000" w:rsidRPr="009B29F0" w:rsidP="00A661B0">
      <w:pPr>
        <w:pStyle w:val="BodyText"/>
      </w:pPr>
      <w:r w:rsidRPr="009B29F0">
        <w:t>This unit of competency d</w:t>
      </w:r>
      <w:r w:rsidRPr="009B29F0">
        <w:t xml:space="preserve">escribes the skills and knowledge to perform routine tests and procedures that are part of the requirements of pre- and post-blood transfusion practice. The unit also covers tests and procedures that are indicated in laboratory investigations in obstetric </w:t>
      </w:r>
      <w:r w:rsidRPr="009B29F0">
        <w:t>and perinatal medicine, in suspected haemolysis and haemolytic episodes, and in other clinical circumstances.</w:t>
      </w:r>
    </w:p>
    <w:p w:rsidR="00000000" w:rsidRPr="009B29F0" w:rsidP="00A661B0">
      <w:pPr>
        <w:pStyle w:val="BodyText"/>
      </w:pPr>
      <w:r w:rsidRPr="009B29F0">
        <w:t>This unit applies to technical officers and laboratory technicians working in the biomedical industry sector. It is understood that the management</w:t>
      </w:r>
      <w:r w:rsidRPr="009B29F0">
        <w:t xml:space="preserve"> of any transfusion laboratory would establish for itself, in terms of its own responsibility and purposes, the ability of any worker to work in a transfusion science laboratory, regardless of the education and training record or presumed ability of any wo</w:t>
      </w:r>
      <w:r w:rsidRPr="009B29F0">
        <w:t xml:space="preserve">rker. </w:t>
      </w:r>
    </w:p>
    <w:p w:rsidR="00000000" w:rsidRPr="009B29F0" w:rsidP="00A661B0">
      <w:pPr>
        <w:pStyle w:val="BodyText"/>
      </w:pPr>
      <w:r w:rsidRPr="009B29F0">
        <w:t>Tests will be related to the determination of blood groups and the detection of antibodies of significance in:</w:t>
      </w:r>
    </w:p>
    <w:p w:rsidR="00000000" w:rsidRPr="009B29F0" w:rsidP="009B29F0">
      <w:pPr>
        <w:pStyle w:val="ListBullet"/>
      </w:pPr>
      <w:r w:rsidRPr="009B29F0">
        <w:t>transfusion (as laboratory evidence that in vivo cell destruction or immunisation may occur)</w:t>
      </w:r>
    </w:p>
    <w:p w:rsidR="00000000" w:rsidRPr="009B29F0" w:rsidP="009B29F0">
      <w:pPr>
        <w:pStyle w:val="ListBullet"/>
      </w:pPr>
      <w:r w:rsidRPr="009B29F0">
        <w:t>pregnancy and the perinatal period (as evide</w:t>
      </w:r>
      <w:r w:rsidRPr="009B29F0">
        <w:t>nce of sensitisation of foetal red cells by transplacental maternal antibody)</w:t>
      </w:r>
    </w:p>
    <w:p w:rsidR="00000000" w:rsidRPr="009B29F0" w:rsidP="009B29F0">
      <w:pPr>
        <w:pStyle w:val="ListBullet"/>
      </w:pPr>
      <w:r w:rsidRPr="009B29F0">
        <w:t>the investigation of haemolysis or haemolytic episodes.</w:t>
      </w:r>
    </w:p>
    <w:p w:rsidR="00000000" w:rsidRPr="009B29F0" w:rsidP="00A661B0">
      <w:pPr>
        <w:pStyle w:val="BodyText"/>
      </w:pPr>
      <w:r w:rsidRPr="009B29F0">
        <w:t>The tests that the worker will use will be validated and authorised procedures, clearly described in the laboratory’s manu</w:t>
      </w:r>
      <w:r w:rsidRPr="009B29F0">
        <w:t>al of procedures. The unit of competency is based on the assumption that technical personnel would perform tests and procedures under the close supervision of scientific and/or medical staff. The parameters of interpretation will be clearly described, indi</w:t>
      </w:r>
      <w:r w:rsidRPr="009B29F0">
        <w:t xml:space="preserve">cating for the worker what they are permitted to sign-off without reference to supervisors or managers. </w:t>
      </w:r>
    </w:p>
    <w:p w:rsidR="00A661B0" w:rsidP="00A661B0">
      <w:pPr>
        <w:pStyle w:val="BodyText"/>
      </w:pPr>
      <w:r w:rsidRPr="009B29F0">
        <w:t>No licensing or certification requirements exist at the time of publication. However, regulations and/or external accreditation requirements for labora</w:t>
      </w:r>
      <w:r w:rsidRPr="009B29F0">
        <w:t>tory operations exist, so local requirements should be checked. Relevant legislation, industry standards and codes of practice within Australia must also be applied.</w:t>
      </w:r>
    </w:p>
    <w:p w:rsidR="00000000" w:rsidRPr="009B29F0" w:rsidP="009B29F0">
      <w:pPr>
        <w:pStyle w:val="Heading1"/>
      </w:pPr>
      <w:bookmarkStart w:id="3" w:name="O_1258816"/>
      <w:bookmarkEnd w:id="3"/>
      <w:r w:rsidRPr="009B29F0">
        <w:t>Pre-requisite Unit</w:t>
      </w:r>
    </w:p>
    <w:p w:rsidR="00000000" w:rsidRPr="009B29F0" w:rsidP="00A661B0">
      <w:pPr>
        <w:pStyle w:val="BodyText"/>
      </w:pPr>
      <w:r w:rsidRPr="009B29F0">
        <w:t>Nil.</w:t>
      </w:r>
    </w:p>
    <w:p w:rsidR="00000000" w:rsidRPr="009B29F0" w:rsidP="009B29F0">
      <w:pPr>
        <w:pStyle w:val="Heading1"/>
      </w:pPr>
      <w:bookmarkStart w:id="4" w:name="O_1258817"/>
      <w:bookmarkEnd w:id="4"/>
      <w:r w:rsidRPr="009B29F0">
        <w:t>Competency Field</w:t>
      </w:r>
    </w:p>
    <w:p w:rsidR="00000000" w:rsidRPr="009B29F0" w:rsidP="00A661B0">
      <w:pPr>
        <w:pStyle w:val="BodyText"/>
      </w:pPr>
      <w:r w:rsidRPr="009B29F0">
        <w:t>Testing</w:t>
      </w:r>
    </w:p>
    <w:p w:rsidR="00000000" w:rsidRPr="009B29F0" w:rsidP="009B29F0">
      <w:pPr>
        <w:pStyle w:val="Heading1"/>
      </w:pPr>
      <w:bookmarkStart w:id="5" w:name="O_1258819"/>
      <w:bookmarkEnd w:id="5"/>
      <w:r w:rsidRPr="009B29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6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F0" w:rsidP="009B29F0">
            <w:pPr>
              <w:pStyle w:val="BodyText"/>
            </w:pPr>
            <w:r w:rsidRPr="009B29F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rPr>
                <w:rStyle w:val="SpecialBold"/>
              </w:rPr>
              <w:t>Performance Criteria</w:t>
            </w:r>
          </w:p>
        </w:tc>
      </w:tr>
      <w:tr w:rsidTr="00A6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Performance criteria describe the performance needed to demonstrate achievement of the element.</w:t>
            </w:r>
          </w:p>
        </w:tc>
      </w:tr>
      <w:tr w:rsidTr="00A6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1. Process samples and associated request forms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F0" w:rsidP="009B29F0">
            <w:pPr>
              <w:pStyle w:val="BodyText"/>
            </w:pPr>
            <w:r w:rsidRPr="009B29F0">
              <w:t>1.1 Identify specimens and request forms that do not comply with workplace requirements</w:t>
            </w:r>
          </w:p>
          <w:p w:rsidR="00000000" w:rsidRPr="009B29F0" w:rsidP="009B29F0">
            <w:pPr>
              <w:pStyle w:val="BodyText"/>
            </w:pPr>
            <w:r w:rsidRPr="009B29F0">
              <w:t xml:space="preserve">1.2 Record any discrepancies and indicate action required </w:t>
            </w:r>
          </w:p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1.3 Register samples in accordance with workplace procedures,</w:t>
            </w:r>
            <w:r w:rsidRPr="009B29F0">
              <w:t xml:space="preserve"> recording details that allow accurate tracking and chain of custody traceable to employee</w:t>
            </w:r>
          </w:p>
        </w:tc>
      </w:tr>
      <w:tr w:rsidTr="00A6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2. Perform tests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F0" w:rsidP="009B29F0">
            <w:pPr>
              <w:pStyle w:val="BodyText"/>
            </w:pPr>
            <w:r w:rsidRPr="009B29F0">
              <w:t>2.1 Conduct individual tests in accordance with workplace procedures</w:t>
            </w:r>
          </w:p>
          <w:p w:rsidR="00000000" w:rsidRPr="009B29F0" w:rsidP="009B29F0">
            <w:pPr>
              <w:pStyle w:val="BodyText"/>
            </w:pPr>
            <w:r w:rsidRPr="009B29F0">
              <w:t xml:space="preserve">2.2 Use appropriate manual techniques to determine patient/donor red cell phenotype and antibody status </w:t>
            </w:r>
          </w:p>
          <w:p w:rsidR="00000000" w:rsidRPr="009B29F0" w:rsidP="009B29F0">
            <w:pPr>
              <w:pStyle w:val="BodyText"/>
            </w:pPr>
            <w:r w:rsidRPr="009B29F0">
              <w:t xml:space="preserve">2.3 Read and grade tube and card agglutination reactions </w:t>
            </w:r>
          </w:p>
          <w:p w:rsidR="00000000" w:rsidRPr="009B29F0" w:rsidP="009B29F0">
            <w:pPr>
              <w:pStyle w:val="BodyText"/>
            </w:pPr>
            <w:r w:rsidRPr="009B29F0">
              <w:t>2.4 Correctly interpret results</w:t>
            </w:r>
          </w:p>
          <w:p w:rsidR="00000000" w:rsidRPr="009B29F0" w:rsidP="009B29F0">
            <w:pPr>
              <w:pStyle w:val="BodyText"/>
            </w:pPr>
            <w:r w:rsidRPr="009B29F0">
              <w:t>2.5 Validate test results using control cells and reagents</w:t>
            </w:r>
          </w:p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2.</w:t>
            </w:r>
            <w:r w:rsidRPr="009B29F0">
              <w:t>6 Complete documentation required to permit the issuing of blood or blood components that have been cleared for use by clinical staff</w:t>
            </w:r>
          </w:p>
        </w:tc>
      </w:tr>
      <w:tr w:rsidTr="00A6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F0">
            <w:pPr>
              <w:pStyle w:val="BodyText"/>
              <w:rPr>
                <w:lang w:val="en-NZ"/>
              </w:rPr>
            </w:pPr>
            <w:r w:rsidRPr="009B29F0">
              <w:t>3. Maintain laboratory records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F0" w:rsidP="009B29F0">
            <w:pPr>
              <w:pStyle w:val="BodyText"/>
            </w:pPr>
            <w:r w:rsidRPr="009B29F0">
              <w:t>3.1 Record and/or check data in accordance with workplace procedures</w:t>
            </w:r>
          </w:p>
          <w:p w:rsidR="00000000" w:rsidRPr="009B29F0" w:rsidP="009B29F0">
            <w:pPr>
              <w:pStyle w:val="BodyText"/>
            </w:pPr>
            <w:r w:rsidRPr="009B29F0">
              <w:t>3.2 Follow procedures</w:t>
            </w:r>
            <w:r w:rsidRPr="009B29F0">
              <w:t xml:space="preserve"> to ensure traceability of sample from receipt to reporting of results</w:t>
            </w:r>
          </w:p>
        </w:tc>
      </w:tr>
    </w:tbl>
    <w:p w:rsidR="00A661B0" w:rsidP="009B29F0">
      <w:pPr>
        <w:pStyle w:val="BodyText"/>
      </w:pPr>
    </w:p>
    <w:p w:rsidR="00A661B0" w:rsidP="009B29F0">
      <w:pPr>
        <w:pStyle w:val="BodyText"/>
      </w:pPr>
    </w:p>
    <w:p w:rsidR="00000000" w:rsidRPr="009B29F0" w:rsidP="009B29F0">
      <w:pPr>
        <w:pStyle w:val="Heading1"/>
      </w:pPr>
      <w:bookmarkStart w:id="6" w:name="O_1258820"/>
      <w:bookmarkEnd w:id="6"/>
      <w:r w:rsidRPr="009B29F0">
        <w:t>Foundation Skills</w:t>
      </w:r>
    </w:p>
    <w:p w:rsidR="00000000" w:rsidRPr="009B29F0" w:rsidP="00A661B0">
      <w:pPr>
        <w:pStyle w:val="BodyText"/>
      </w:pPr>
      <w:r w:rsidRPr="009B29F0">
        <w:t>This section describes those language, literacy, numeracy and employment skills that are essential to performance.</w:t>
      </w:r>
    </w:p>
    <w:p w:rsidR="00A661B0" w:rsidP="00A661B0">
      <w:pPr>
        <w:pStyle w:val="BodyText"/>
      </w:pPr>
      <w:r w:rsidRPr="009B29F0">
        <w:t>Foundation skills essential to</w:t>
      </w:r>
      <w:r w:rsidRPr="009B29F0">
        <w:t xml:space="preserve"> performance are explicit in the performance criteria of this unit.</w:t>
      </w:r>
    </w:p>
    <w:p w:rsidR="00000000" w:rsidRPr="009B29F0" w:rsidP="009B29F0">
      <w:pPr>
        <w:pStyle w:val="Heading1"/>
      </w:pPr>
      <w:bookmarkStart w:id="7" w:name="O_1258822"/>
      <w:bookmarkEnd w:id="7"/>
      <w:r w:rsidRPr="009B29F0">
        <w:t>Unit Mapping Information</w:t>
      </w:r>
    </w:p>
    <w:p w:rsidR="00A661B0" w:rsidP="00A661B0">
      <w:pPr>
        <w:pStyle w:val="BodyText"/>
      </w:pPr>
      <w:r w:rsidRPr="009B29F0">
        <w:t>Supersedes and is equivalent to MSL975030 Perform immunohaematological tests.</w:t>
      </w:r>
    </w:p>
    <w:p w:rsidR="00000000" w:rsidRPr="009B29F0" w:rsidP="009B29F0">
      <w:pPr>
        <w:pStyle w:val="Heading1"/>
      </w:pPr>
      <w:bookmarkStart w:id="8" w:name="O_1258829"/>
      <w:bookmarkEnd w:id="8"/>
      <w:r w:rsidRPr="009B29F0">
        <w:t>Links</w:t>
      </w:r>
    </w:p>
    <w:p w:rsidR="00000000" w:rsidRPr="009B29F0" w:rsidP="00A661B0">
      <w:pPr>
        <w:pStyle w:val="BodyText"/>
      </w:pPr>
      <w:r w:rsidRPr="009B29F0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7059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B29F0" w:rsidP="009B29F0"/>
    <w:sectPr w:rsidSect="009B29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F0" w:rsidRPr="00A661B0" w:rsidP="00A66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B0" w:rsidP="009B2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1B0" w:rsidP="009B2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61B0" w:rsidP="009B2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9F0" w:rsidRPr="00A661B0" w:rsidP="00A66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B0" w:rsidRPr="002D2AF8" w:rsidP="009B2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MSL975058 Perform immunohaematological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661B0" w:rsidP="009B2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603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FE9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9F0"/>
  </w:style>
  <w:style w:type="character" w:customStyle="1" w:styleId="Heading1Char">
    <w:name w:val="Heading 1 Char"/>
    <w:basedOn w:val="DefaultParagraphFont"/>
    <w:link w:val="Heading1"/>
    <w:rsid w:val="009B2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9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9F0"/>
    <w:rPr>
      <w:b/>
      <w:spacing w:val="0"/>
    </w:rPr>
  </w:style>
  <w:style w:type="paragraph" w:customStyle="1" w:styleId="SuperHeading">
    <w:name w:val="SuperHeading"/>
    <w:basedOn w:val="Normal"/>
    <w:rsid w:val="009B2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9F0"/>
    <w:rPr>
      <w:i/>
    </w:rPr>
  </w:style>
  <w:style w:type="paragraph" w:styleId="Caption">
    <w:name w:val="caption"/>
    <w:basedOn w:val="BodyText"/>
    <w:next w:val="Normal"/>
    <w:qFormat/>
    <w:rsid w:val="009B2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9F0"/>
  </w:style>
  <w:style w:type="paragraph" w:styleId="TableofFigures">
    <w:name w:val="table of figures"/>
    <w:basedOn w:val="Normal"/>
    <w:next w:val="Normal"/>
    <w:semiHidden/>
    <w:rsid w:val="009B2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9F0"/>
    <w:rPr>
      <w:rFonts w:ascii="Wingdings" w:hAnsi="Wingdings"/>
    </w:rPr>
  </w:style>
  <w:style w:type="paragraph" w:customStyle="1" w:styleId="TableHeading">
    <w:name w:val="Table Heading"/>
    <w:basedOn w:val="HeadingBase"/>
    <w:rsid w:val="009B2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9F0"/>
    <w:rPr>
      <w:color w:val="0033CC"/>
      <w:u w:val="none"/>
    </w:rPr>
  </w:style>
  <w:style w:type="paragraph" w:customStyle="1" w:styleId="BodyTextRight">
    <w:name w:val="Body Text Right"/>
    <w:basedOn w:val="BodyText"/>
    <w:rsid w:val="009B2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9F0"/>
    <w:rPr>
      <w:sz w:val="32"/>
    </w:rPr>
  </w:style>
  <w:style w:type="paragraph" w:customStyle="1" w:styleId="HeadingProcedure">
    <w:name w:val="Heading Procedure"/>
    <w:basedOn w:val="HeadingBase"/>
    <w:next w:val="Normal"/>
    <w:rsid w:val="009B2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9F0"/>
    <w:pPr>
      <w:spacing w:before="60" w:after="60"/>
    </w:pPr>
  </w:style>
  <w:style w:type="paragraph" w:styleId="ListContinue">
    <w:name w:val="List Continue"/>
    <w:basedOn w:val="List"/>
    <w:rsid w:val="009B29F0"/>
    <w:pPr>
      <w:ind w:firstLine="0"/>
    </w:pPr>
  </w:style>
  <w:style w:type="paragraph" w:customStyle="1" w:styleId="ListNote">
    <w:name w:val="List Note"/>
    <w:basedOn w:val="List"/>
    <w:rsid w:val="009B2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9F0"/>
    <w:rPr>
      <w:rFonts w:ascii="Courier New" w:hAnsi="Courier New"/>
    </w:rPr>
  </w:style>
  <w:style w:type="paragraph" w:customStyle="1" w:styleId="NoteBullet">
    <w:name w:val="Note Bullet"/>
    <w:basedOn w:val="Note"/>
    <w:rsid w:val="009B2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9F0"/>
    <w:rPr>
      <w:b/>
      <w:smallCaps/>
    </w:rPr>
  </w:style>
  <w:style w:type="paragraph" w:customStyle="1" w:styleId="TableListNumber">
    <w:name w:val="Table List Number"/>
    <w:basedOn w:val="ListNumber"/>
    <w:rsid w:val="009B2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9F0"/>
    <w:pPr>
      <w:numPr>
        <w:numId w:val="8"/>
      </w:numPr>
    </w:pPr>
  </w:style>
  <w:style w:type="paragraph" w:customStyle="1" w:styleId="ListAlpha2">
    <w:name w:val="List Alpha 2"/>
    <w:basedOn w:val="List2"/>
    <w:rsid w:val="009B29F0"/>
    <w:pPr>
      <w:numPr>
        <w:numId w:val="7"/>
      </w:numPr>
    </w:pPr>
  </w:style>
  <w:style w:type="paragraph" w:styleId="List2">
    <w:name w:val="List 2"/>
    <w:basedOn w:val="BodyText"/>
    <w:rsid w:val="009B2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9F0"/>
    <w:pPr>
      <w:numPr>
        <w:numId w:val="3"/>
      </w:numPr>
    </w:pPr>
  </w:style>
  <w:style w:type="paragraph" w:styleId="ListContinue2">
    <w:name w:val="List Continue 2"/>
    <w:basedOn w:val="List2"/>
    <w:rsid w:val="009B29F0"/>
    <w:pPr>
      <w:ind w:firstLine="0"/>
    </w:pPr>
  </w:style>
  <w:style w:type="paragraph" w:styleId="ListContinue3">
    <w:name w:val="List Continue 3"/>
    <w:basedOn w:val="List3"/>
    <w:rsid w:val="009B29F0"/>
    <w:pPr>
      <w:ind w:left="1021" w:firstLine="0"/>
    </w:pPr>
  </w:style>
  <w:style w:type="paragraph" w:styleId="ListContinue4">
    <w:name w:val="List Continue 4"/>
    <w:basedOn w:val="List4"/>
    <w:rsid w:val="009B29F0"/>
    <w:pPr>
      <w:ind w:firstLine="0"/>
    </w:pPr>
  </w:style>
  <w:style w:type="paragraph" w:styleId="ListContinue5">
    <w:name w:val="List Continue 5"/>
    <w:basedOn w:val="List5"/>
    <w:rsid w:val="009B29F0"/>
    <w:pPr>
      <w:ind w:firstLine="0"/>
    </w:pPr>
  </w:style>
  <w:style w:type="paragraph" w:styleId="ListNumber3">
    <w:name w:val="List Number 3"/>
    <w:basedOn w:val="List3"/>
    <w:rsid w:val="009B29F0"/>
    <w:pPr>
      <w:numPr>
        <w:numId w:val="4"/>
      </w:numPr>
    </w:pPr>
  </w:style>
  <w:style w:type="paragraph" w:styleId="ListNumber4">
    <w:name w:val="List Number 4"/>
    <w:basedOn w:val="List4"/>
    <w:rsid w:val="009B29F0"/>
    <w:pPr>
      <w:numPr>
        <w:numId w:val="5"/>
      </w:numPr>
    </w:pPr>
  </w:style>
  <w:style w:type="paragraph" w:styleId="ListNumber5">
    <w:name w:val="List Number 5"/>
    <w:basedOn w:val="List5"/>
    <w:rsid w:val="009B29F0"/>
    <w:pPr>
      <w:numPr>
        <w:numId w:val="6"/>
      </w:numPr>
    </w:pPr>
  </w:style>
  <w:style w:type="paragraph" w:styleId="BlockText">
    <w:name w:val="Block Text"/>
    <w:basedOn w:val="Normal"/>
    <w:rsid w:val="009B2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9F0"/>
    <w:rPr>
      <w:sz w:val="16"/>
      <w:vertAlign w:val="superscript"/>
    </w:rPr>
  </w:style>
  <w:style w:type="character" w:customStyle="1" w:styleId="Symbols">
    <w:name w:val="Symbols"/>
    <w:basedOn w:val="DefaultParagraphFont"/>
    <w:rsid w:val="009B29F0"/>
    <w:rPr>
      <w:rFonts w:ascii="Symbol" w:hAnsi="Symbol"/>
    </w:rPr>
  </w:style>
  <w:style w:type="character" w:customStyle="1" w:styleId="MenuOptions">
    <w:name w:val="Menu Options"/>
    <w:basedOn w:val="DefaultParagraphFont"/>
    <w:rsid w:val="009B2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9F0"/>
    <w:rPr>
      <w:b/>
    </w:rPr>
  </w:style>
  <w:style w:type="character" w:customStyle="1" w:styleId="Underlined">
    <w:name w:val="Underlined"/>
    <w:basedOn w:val="DefaultParagraphFont"/>
    <w:rsid w:val="009B29F0"/>
    <w:rPr>
      <w:u w:val="single"/>
    </w:rPr>
  </w:style>
  <w:style w:type="paragraph" w:customStyle="1" w:styleId="TableBodyTextRight">
    <w:name w:val="Table Body Text Right"/>
    <w:basedOn w:val="TableBodyText"/>
    <w:rsid w:val="009B2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9F0"/>
    <w:rPr>
      <w:sz w:val="18"/>
    </w:rPr>
  </w:style>
  <w:style w:type="paragraph" w:customStyle="1" w:styleId="BodySmallRight">
    <w:name w:val="Body Small Right"/>
    <w:basedOn w:val="BodyTextRight"/>
    <w:rsid w:val="009B29F0"/>
    <w:rPr>
      <w:sz w:val="18"/>
      <w:szCs w:val="18"/>
    </w:rPr>
  </w:style>
  <w:style w:type="paragraph" w:customStyle="1" w:styleId="MarginEdition">
    <w:name w:val="Margin Edition"/>
    <w:basedOn w:val="MarginNote"/>
    <w:rsid w:val="009B2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9F0"/>
    <w:rPr>
      <w:sz w:val="2"/>
      <w:szCs w:val="2"/>
    </w:rPr>
  </w:style>
  <w:style w:type="character" w:customStyle="1" w:styleId="Small">
    <w:name w:val="Small"/>
    <w:basedOn w:val="DefaultParagraphFont"/>
    <w:rsid w:val="009B29F0"/>
    <w:rPr>
      <w:sz w:val="16"/>
    </w:rPr>
  </w:style>
  <w:style w:type="paragraph" w:customStyle="1" w:styleId="WideTable">
    <w:name w:val="Wide Table"/>
    <w:basedOn w:val="Normal"/>
    <w:rsid w:val="009B2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9F0"/>
  </w:style>
  <w:style w:type="paragraph" w:styleId="Quote">
    <w:name w:val="Quote"/>
    <w:basedOn w:val="Heading1"/>
    <w:link w:val="QuoteChar"/>
    <w:qFormat/>
    <w:rsid w:val="009B2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9F0"/>
    <w:pPr>
      <w:pageBreakBefore/>
    </w:pPr>
  </w:style>
  <w:style w:type="paragraph" w:customStyle="1" w:styleId="Border">
    <w:name w:val="Border"/>
    <w:basedOn w:val="Normal"/>
    <w:qFormat/>
    <w:rsid w:val="009B2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9F0"/>
    <w:rPr>
      <w:u w:val="single"/>
    </w:rPr>
  </w:style>
  <w:style w:type="character" w:customStyle="1" w:styleId="BoldandItalics">
    <w:name w:val="Bold and Italics"/>
    <w:qFormat/>
    <w:rsid w:val="009B29F0"/>
    <w:rPr>
      <w:b/>
      <w:i/>
      <w:u w:val="none"/>
    </w:rPr>
  </w:style>
  <w:style w:type="paragraph" w:styleId="BalloonText">
    <w:name w:val="Balloon Text"/>
    <w:basedOn w:val="Normal"/>
    <w:link w:val="BalloonTextChar"/>
    <w:rsid w:val="009B2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9F0"/>
    <w:pPr>
      <w:spacing w:before="0" w:after="0"/>
    </w:pPr>
  </w:style>
  <w:style w:type="paragraph" w:customStyle="1" w:styleId="BodyTextBold">
    <w:name w:val="Body Text Bold"/>
    <w:basedOn w:val="BodyText"/>
    <w:qFormat/>
    <w:rsid w:val="009B29F0"/>
    <w:rPr>
      <w:b/>
    </w:rPr>
  </w:style>
  <w:style w:type="character" w:styleId="Hyperlink">
    <w:name w:val="Hyperlink"/>
    <w:basedOn w:val="DefaultParagraphFont"/>
    <w:uiPriority w:val="99"/>
    <w:unhideWhenUsed/>
    <w:rsid w:val="00A66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3671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MSL975058 Perform immunohaematological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