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21D" w:rsidP="001E5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MSL975058 Perform immunohaematological tests</w:t>
      </w:r>
      <w:r>
        <w:fldChar w:fldCharType="end"/>
      </w:r>
    </w:p>
    <w:p w:rsidR="001E521D" w:rsidP="001E521D">
      <w:pPr>
        <w:pStyle w:val="Version"/>
        <w:sectPr w:rsidSect="00213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618" w:rsidP="00213618">
      <w:pPr>
        <w:pStyle w:val="SuperHeading"/>
      </w:pPr>
      <w:r w:rsidRPr="00213618">
        <w:t>Assessment Requirements for MSL975058 Perform immunohaematological tests</w:t>
      </w:r>
    </w:p>
    <w:p w:rsidR="00000000" w:rsidRPr="00213618" w:rsidP="00213618">
      <w:pPr>
        <w:pStyle w:val="Heading1"/>
      </w:pPr>
      <w:bookmarkStart w:id="1" w:name="O_1258824"/>
      <w:bookmarkEnd w:id="1"/>
      <w:r w:rsidRPr="00213618">
        <w:t>Modification History</w:t>
      </w:r>
    </w:p>
    <w:p w:rsidR="00000000" w:rsidRPr="00213618" w:rsidP="001E521D">
      <w:pPr>
        <w:pStyle w:val="BodyText"/>
      </w:pPr>
      <w:r w:rsidRPr="00213618">
        <w:t>Release 1. Supersedes and equivalent to MSL975030 Perform immunohaematol</w:t>
      </w:r>
      <w:r w:rsidRPr="00213618">
        <w:t>ogical tests. Minor changes to Performance Criteria, Performance Evidence and Knowledge Evidence.</w:t>
      </w:r>
    </w:p>
    <w:p w:rsidR="00000000" w:rsidRPr="00213618" w:rsidP="00213618">
      <w:pPr>
        <w:pStyle w:val="Heading1"/>
      </w:pPr>
      <w:bookmarkStart w:id="2" w:name="O_1258825"/>
      <w:bookmarkEnd w:id="2"/>
      <w:r w:rsidRPr="00213618">
        <w:t>Performance Evidence</w:t>
      </w:r>
    </w:p>
    <w:p w:rsidR="00000000" w:rsidRPr="00213618" w:rsidP="001E521D">
      <w:pPr>
        <w:pStyle w:val="BodyText"/>
      </w:pPr>
      <w:r w:rsidRPr="00213618">
        <w:t>There must be evidence the candidate has completed the tasks outlined in the elements and performance criteria of this</w:t>
      </w:r>
      <w:r w:rsidRPr="00213618">
        <w:t xml:space="preserve"> unit, and:</w:t>
      </w:r>
    </w:p>
    <w:p w:rsidR="00000000" w:rsidRPr="00213618" w:rsidP="00213618">
      <w:pPr>
        <w:pStyle w:val="ListBullet"/>
      </w:pPr>
      <w:r w:rsidRPr="00213618">
        <w:t>safely performed and interpreted at least 5 immunohaematological tests following the laboratory’s validated and authorised procedures, including:</w:t>
      </w:r>
    </w:p>
    <w:p w:rsidR="00000000" w:rsidRPr="00213618" w:rsidP="00213618">
      <w:pPr>
        <w:pStyle w:val="ListBullet2"/>
      </w:pPr>
      <w:r w:rsidRPr="00213618">
        <w:t>forward and reverse ABO typing</w:t>
      </w:r>
    </w:p>
    <w:p w:rsidR="00000000" w:rsidRPr="00213618" w:rsidP="00213618">
      <w:pPr>
        <w:pStyle w:val="ListBullet2"/>
      </w:pPr>
      <w:r w:rsidRPr="00213618">
        <w:t>Rh phenotyping</w:t>
      </w:r>
    </w:p>
    <w:p w:rsidR="00000000" w:rsidRPr="00213618" w:rsidP="00213618">
      <w:pPr>
        <w:pStyle w:val="ListBullet2"/>
      </w:pPr>
      <w:r w:rsidRPr="00213618">
        <w:t xml:space="preserve">crossmatching </w:t>
      </w:r>
    </w:p>
    <w:p w:rsidR="00000000" w:rsidRPr="00213618" w:rsidP="00213618">
      <w:pPr>
        <w:pStyle w:val="ListBullet2"/>
      </w:pPr>
      <w:r w:rsidRPr="00213618">
        <w:t>antibody screen</w:t>
      </w:r>
    </w:p>
    <w:p w:rsidR="00000000" w:rsidRPr="00213618" w:rsidP="00213618">
      <w:pPr>
        <w:pStyle w:val="ListBullet2"/>
      </w:pPr>
      <w:r w:rsidRPr="00213618">
        <w:t>antibody identifica</w:t>
      </w:r>
      <w:r w:rsidRPr="00213618">
        <w:t>tion cell panel</w:t>
      </w:r>
    </w:p>
    <w:p w:rsidR="00000000" w:rsidRPr="00213618" w:rsidP="00213618">
      <w:pPr>
        <w:pStyle w:val="ListBullet2"/>
      </w:pPr>
      <w:r w:rsidRPr="00213618">
        <w:t>Direct Antiglobulin Test</w:t>
      </w:r>
    </w:p>
    <w:p w:rsidR="00000000" w:rsidRPr="00213618" w:rsidP="001E521D">
      <w:pPr>
        <w:pStyle w:val="BodyText"/>
      </w:pPr>
      <w:r w:rsidRPr="00213618">
        <w:t>with 100% accuracy of patient identification in all steps.</w:t>
      </w:r>
    </w:p>
    <w:p w:rsidR="001E521D" w:rsidP="00213618">
      <w:pPr>
        <w:pStyle w:val="ListBullet"/>
      </w:pPr>
      <w:r w:rsidRPr="00213618">
        <w:t xml:space="preserve">performing tests accurately and organising work to ensure the timely release of blood and </w:t>
      </w:r>
      <w:r w:rsidRPr="00213618">
        <w:t>blood products and needs of relevant patients and clients are met.</w:t>
      </w:r>
    </w:p>
    <w:p w:rsidR="001E521D" w:rsidP="00213618">
      <w:pPr>
        <w:pStyle w:val="ListBullet"/>
      </w:pPr>
    </w:p>
    <w:p w:rsidR="00000000" w:rsidRPr="00213618" w:rsidP="00213618">
      <w:pPr>
        <w:pStyle w:val="Heading1"/>
      </w:pPr>
      <w:bookmarkStart w:id="3" w:name="O_1258826"/>
      <w:bookmarkEnd w:id="3"/>
      <w:r w:rsidRPr="00213618">
        <w:t>Knowledge Evidence</w:t>
      </w:r>
    </w:p>
    <w:p w:rsidR="00000000" w:rsidRPr="00213618" w:rsidP="001E521D">
      <w:pPr>
        <w:pStyle w:val="BodyText"/>
      </w:pPr>
      <w:r w:rsidRPr="00213618">
        <w:t>There must be evidence the candidate has knowledge of:</w:t>
      </w:r>
    </w:p>
    <w:p w:rsidR="00000000" w:rsidRPr="00213618" w:rsidP="00213618">
      <w:pPr>
        <w:pStyle w:val="ListBullet"/>
      </w:pPr>
      <w:r w:rsidRPr="00213618">
        <w:t>medical terminology relevant to normal and abnormal immunohaematology</w:t>
      </w:r>
    </w:p>
    <w:p w:rsidR="00000000" w:rsidRPr="00213618" w:rsidP="00213618">
      <w:pPr>
        <w:pStyle w:val="ListBullet"/>
      </w:pPr>
      <w:r w:rsidRPr="00213618">
        <w:t xml:space="preserve">immunological concepts, </w:t>
      </w:r>
      <w:r w:rsidRPr="00213618">
        <w:t>including:</w:t>
      </w:r>
    </w:p>
    <w:p w:rsidR="00000000" w:rsidRPr="00213618" w:rsidP="00213618">
      <w:pPr>
        <w:pStyle w:val="ListBullet2"/>
      </w:pPr>
      <w:r w:rsidRPr="00213618">
        <w:t>acquired immunity</w:t>
      </w:r>
    </w:p>
    <w:p w:rsidR="00000000" w:rsidRPr="00213618" w:rsidP="00213618">
      <w:pPr>
        <w:pStyle w:val="ListBullet2"/>
      </w:pPr>
      <w:r w:rsidRPr="00213618">
        <w:t>antibody structure and function</w:t>
      </w:r>
    </w:p>
    <w:p w:rsidR="00000000" w:rsidRPr="00213618" w:rsidP="00213618">
      <w:pPr>
        <w:pStyle w:val="ListBullet2"/>
      </w:pPr>
      <w:r w:rsidRPr="00213618">
        <w:t>antigen antibody reactions</w:t>
      </w:r>
    </w:p>
    <w:p w:rsidR="00000000" w:rsidRPr="00213618" w:rsidP="00213618">
      <w:pPr>
        <w:pStyle w:val="ListBullet"/>
      </w:pPr>
      <w:r w:rsidRPr="00213618">
        <w:t>principle and purpose of test methods implemented (why they are used and what they demonstrate)</w:t>
      </w:r>
    </w:p>
    <w:p w:rsidR="00000000" w:rsidRPr="00213618" w:rsidP="00213618">
      <w:pPr>
        <w:pStyle w:val="ListBullet"/>
      </w:pPr>
      <w:r w:rsidRPr="00213618">
        <w:t>Interpretation of antibody identification cell panel results</w:t>
      </w:r>
    </w:p>
    <w:p w:rsidR="00000000" w:rsidRPr="00213618" w:rsidP="00213618">
      <w:pPr>
        <w:pStyle w:val="ListBullet"/>
      </w:pPr>
      <w:r w:rsidRPr="00213618">
        <w:t>basic pri</w:t>
      </w:r>
      <w:r w:rsidRPr="00213618">
        <w:t>nciples of transfusion reactions</w:t>
      </w:r>
    </w:p>
    <w:p w:rsidR="00000000" w:rsidRPr="00213618" w:rsidP="00213618">
      <w:pPr>
        <w:pStyle w:val="ListBullet"/>
      </w:pPr>
      <w:r w:rsidRPr="00213618">
        <w:t>types of blood products, their approved storage and transport conditions, safe handling and clinical use</w:t>
      </w:r>
    </w:p>
    <w:p w:rsidR="00000000" w:rsidRPr="00213618" w:rsidP="00213618">
      <w:pPr>
        <w:pStyle w:val="ListBullet"/>
      </w:pPr>
      <w:r w:rsidRPr="00213618">
        <w:t>relationship between maintaining transport and storage conditions and timely delivery of blood products on patient safety</w:t>
      </w:r>
    </w:p>
    <w:p w:rsidR="00000000" w:rsidRPr="00213618" w:rsidP="00213618">
      <w:pPr>
        <w:pStyle w:val="ListBullet"/>
      </w:pPr>
      <w:r w:rsidRPr="00213618">
        <w:t xml:space="preserve">blood products inventory management requirements including maintaining accurate records of ordering, receiving, storing and returning </w:t>
      </w:r>
      <w:r w:rsidRPr="00213618">
        <w:t xml:space="preserve">blood and blood products to supplier </w:t>
      </w:r>
    </w:p>
    <w:p w:rsidR="00000000" w:rsidRPr="00213618" w:rsidP="00213618">
      <w:pPr>
        <w:pStyle w:val="ListBullet"/>
      </w:pPr>
      <w:r w:rsidRPr="00213618">
        <w:t>what blood products may be issued in an emergency transfusion</w:t>
      </w:r>
    </w:p>
    <w:p w:rsidR="00000000" w:rsidRPr="00213618" w:rsidP="00213618">
      <w:pPr>
        <w:pStyle w:val="ListBullet"/>
      </w:pPr>
      <w:r w:rsidRPr="00213618">
        <w:t>actions required when result interpretation is outside parameters of authorised approval</w:t>
      </w:r>
    </w:p>
    <w:p w:rsidR="00000000" w:rsidRPr="00213618" w:rsidP="00213618">
      <w:pPr>
        <w:pStyle w:val="ListBullet"/>
      </w:pPr>
      <w:r w:rsidRPr="00213618">
        <w:t>significance of accurately checking product and patient details aga</w:t>
      </w:r>
      <w:r w:rsidRPr="00213618">
        <w:t>inst what has been ordered and consequences of the release of incorrectly matched blood products on patient safety</w:t>
      </w:r>
    </w:p>
    <w:p w:rsidR="00000000" w:rsidRPr="00213618" w:rsidP="00213618">
      <w:pPr>
        <w:pStyle w:val="ListBullet"/>
      </w:pPr>
      <w:r w:rsidRPr="00213618">
        <w:t>relationships that exist between the storage conditions for transfusion reagents and the test results</w:t>
      </w:r>
    </w:p>
    <w:p w:rsidR="00000000" w:rsidRPr="00213618" w:rsidP="00213618">
      <w:pPr>
        <w:pStyle w:val="ListBullet"/>
      </w:pPr>
      <w:r w:rsidRPr="00213618">
        <w:t>technological advances in immunohaemato</w:t>
      </w:r>
      <w:r w:rsidRPr="00213618">
        <w:t>logy including computer cross matching and genotyping to determine blood group</w:t>
      </w:r>
    </w:p>
    <w:p w:rsidR="00000000" w:rsidRPr="00213618" w:rsidP="00213618">
      <w:pPr>
        <w:pStyle w:val="ListBullet"/>
      </w:pPr>
      <w:r w:rsidRPr="00213618">
        <w:t>National Pathology Accreditation Advisory Council (NPAAC) standards for pretransfusion testing</w:t>
      </w:r>
    </w:p>
    <w:p w:rsidR="00000000" w:rsidRPr="00213618" w:rsidP="00213618">
      <w:pPr>
        <w:pStyle w:val="ListBullet"/>
      </w:pPr>
      <w:r w:rsidRPr="00213618">
        <w:t>Australian and New Zealand Society of Blood Transfusion (ANZSBT) Guidelines for Tr</w:t>
      </w:r>
      <w:r w:rsidRPr="00213618">
        <w:t>ansfusion and Immunohaematology Laboratory Practice</w:t>
      </w:r>
    </w:p>
    <w:p w:rsidR="00000000" w:rsidRPr="00213618" w:rsidP="00213618">
      <w:pPr>
        <w:pStyle w:val="ListBullet"/>
      </w:pPr>
      <w:r w:rsidRPr="00213618">
        <w:t>environmental sustainability issues as they relate to the work task</w:t>
      </w:r>
    </w:p>
    <w:p w:rsidR="00000000" w:rsidRPr="00213618" w:rsidP="00213618">
      <w:pPr>
        <w:pStyle w:val="ListBullet"/>
      </w:pPr>
      <w:r w:rsidRPr="00213618">
        <w:t>legal, ethical and work health and safety (WHS) requirements specific to the work task including traceability, confidentiality and secur</w:t>
      </w:r>
      <w:r w:rsidRPr="00213618">
        <w:t>ity requirements of all clinical information, and laboratory data and records.</w:t>
      </w:r>
    </w:p>
    <w:p w:rsidR="00000000" w:rsidRPr="00213618" w:rsidP="00213618">
      <w:pPr>
        <w:pStyle w:val="AllowPageBreak"/>
      </w:pPr>
    </w:p>
    <w:p w:rsidR="00000000" w:rsidRPr="00213618" w:rsidP="00213618">
      <w:pPr>
        <w:pStyle w:val="Heading1"/>
      </w:pPr>
      <w:bookmarkStart w:id="4" w:name="O_1258827"/>
      <w:bookmarkEnd w:id="4"/>
      <w:r w:rsidRPr="00213618">
        <w:t>Assessment Conditions</w:t>
      </w:r>
    </w:p>
    <w:p w:rsidR="00000000" w:rsidRPr="00213618" w:rsidP="001E521D">
      <w:pPr>
        <w:pStyle w:val="BodyText"/>
      </w:pPr>
      <w:r w:rsidRPr="00213618">
        <w:t xml:space="preserve">Skills must have been demonstrated in the workplace or in a simulated environment that reflects workplace conditions and contingencies. </w:t>
      </w:r>
      <w:r w:rsidRPr="00213618">
        <w:t xml:space="preserve">The following conditions must be met for this unit: </w:t>
      </w:r>
    </w:p>
    <w:p w:rsidR="00000000" w:rsidRPr="00213618" w:rsidP="00213618">
      <w:pPr>
        <w:pStyle w:val="ListBullet"/>
      </w:pPr>
      <w:r w:rsidRPr="00213618">
        <w:t xml:space="preserve">use of suitable facilities, equipment and resources, including: </w:t>
      </w:r>
    </w:p>
    <w:p w:rsidR="00000000" w:rsidRPr="00213618" w:rsidP="00213618">
      <w:pPr>
        <w:pStyle w:val="ListBullet2"/>
      </w:pPr>
      <w:r w:rsidRPr="00213618">
        <w:t>a standard transfusion/immunohaematology laboratory with relevant equipment, samples, and reagents</w:t>
      </w:r>
    </w:p>
    <w:p w:rsidR="00000000" w:rsidRPr="00213618" w:rsidP="00213618">
      <w:pPr>
        <w:pStyle w:val="ListBullet2"/>
      </w:pPr>
      <w:r w:rsidRPr="00213618">
        <w:t>information management system</w:t>
      </w:r>
    </w:p>
    <w:p w:rsidR="00000000" w:rsidRPr="00213618" w:rsidP="00213618">
      <w:pPr>
        <w:pStyle w:val="ListBullet2"/>
      </w:pPr>
      <w:r w:rsidRPr="00213618">
        <w:t>workplace procedures, test methods and equipment manuals.</w:t>
      </w:r>
    </w:p>
    <w:p w:rsidR="00000000" w:rsidRPr="00213618" w:rsidP="001E521D">
      <w:pPr>
        <w:pStyle w:val="BodyText"/>
      </w:pPr>
      <w:r w:rsidRPr="00213618">
        <w:t>Assessors must satisfy the NVR/AQTF mandatory competency requirements for assessors.</w:t>
      </w:r>
    </w:p>
    <w:p w:rsidR="00000000" w:rsidRPr="00213618" w:rsidP="00213618">
      <w:pPr>
        <w:pStyle w:val="Heading1"/>
      </w:pPr>
      <w:bookmarkStart w:id="5" w:name="O_1258830"/>
      <w:bookmarkEnd w:id="5"/>
      <w:r w:rsidRPr="00213618">
        <w:t>Links</w:t>
      </w:r>
    </w:p>
    <w:p w:rsidR="00000000" w:rsidRPr="00213618" w:rsidP="001E521D">
      <w:pPr>
        <w:pStyle w:val="BodyText"/>
      </w:pPr>
      <w:r w:rsidRPr="00213618">
        <w:t>MSL Laboratory Operations Companion Volume Implementation Guide is available from VETNet</w:t>
      </w:r>
      <w:r w:rsidRPr="00213618">
        <w:t xml:space="preserve">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D2BC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13618" w:rsidP="00213618"/>
    <w:sectPr w:rsidSect="00213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8" w:rsidRPr="001E521D" w:rsidP="001E5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D" w:rsidP="00213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521D" w:rsidP="00213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521D" w:rsidP="00213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618" w:rsidRPr="001E521D" w:rsidP="001E5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1D" w:rsidRPr="002D2AF8" w:rsidP="00213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MSL975058 Perform immunohaematological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E521D" w:rsidP="00213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EF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E3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0E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618"/>
  </w:style>
  <w:style w:type="character" w:customStyle="1" w:styleId="Heading1Char">
    <w:name w:val="Heading 1 Char"/>
    <w:basedOn w:val="DefaultParagraphFont"/>
    <w:link w:val="Heading1"/>
    <w:rsid w:val="00213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6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6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618"/>
    <w:rPr>
      <w:b/>
      <w:spacing w:val="0"/>
    </w:rPr>
  </w:style>
  <w:style w:type="paragraph" w:customStyle="1" w:styleId="SuperTitle">
    <w:name w:val="SuperTitle"/>
    <w:basedOn w:val="Title"/>
    <w:rsid w:val="00213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618"/>
    <w:rPr>
      <w:i/>
    </w:rPr>
  </w:style>
  <w:style w:type="paragraph" w:styleId="Caption">
    <w:name w:val="caption"/>
    <w:basedOn w:val="BodyText"/>
    <w:next w:val="Normal"/>
    <w:qFormat/>
    <w:rsid w:val="00213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618"/>
  </w:style>
  <w:style w:type="paragraph" w:styleId="TableofFigures">
    <w:name w:val="table of figures"/>
    <w:basedOn w:val="Normal"/>
    <w:next w:val="Normal"/>
    <w:semiHidden/>
    <w:rsid w:val="00213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6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618"/>
    <w:rPr>
      <w:rFonts w:ascii="Wingdings" w:hAnsi="Wingdings"/>
    </w:rPr>
  </w:style>
  <w:style w:type="paragraph" w:customStyle="1" w:styleId="TableHeading">
    <w:name w:val="Table Heading"/>
    <w:basedOn w:val="HeadingBase"/>
    <w:rsid w:val="00213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618"/>
    <w:rPr>
      <w:color w:val="0033CC"/>
      <w:u w:val="none"/>
    </w:rPr>
  </w:style>
  <w:style w:type="paragraph" w:customStyle="1" w:styleId="BodyTextRight">
    <w:name w:val="Body Text Right"/>
    <w:basedOn w:val="BodyText"/>
    <w:rsid w:val="00213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6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618"/>
    <w:rPr>
      <w:sz w:val="32"/>
    </w:rPr>
  </w:style>
  <w:style w:type="paragraph" w:customStyle="1" w:styleId="HeadingProcedure">
    <w:name w:val="Heading Procedure"/>
    <w:basedOn w:val="HeadingBase"/>
    <w:next w:val="Normal"/>
    <w:rsid w:val="00213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618"/>
    <w:pPr>
      <w:spacing w:before="60" w:after="60"/>
    </w:pPr>
  </w:style>
  <w:style w:type="paragraph" w:styleId="ListContinue">
    <w:name w:val="List Continue"/>
    <w:basedOn w:val="List"/>
    <w:rsid w:val="00213618"/>
    <w:pPr>
      <w:ind w:firstLine="0"/>
    </w:pPr>
  </w:style>
  <w:style w:type="paragraph" w:customStyle="1" w:styleId="ListNote">
    <w:name w:val="List Note"/>
    <w:basedOn w:val="List"/>
    <w:rsid w:val="00213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618"/>
    <w:rPr>
      <w:rFonts w:ascii="Courier New" w:hAnsi="Courier New"/>
    </w:rPr>
  </w:style>
  <w:style w:type="paragraph" w:customStyle="1" w:styleId="NoteBullet">
    <w:name w:val="Note Bullet"/>
    <w:basedOn w:val="Note"/>
    <w:rsid w:val="00213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6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618"/>
    <w:rPr>
      <w:b/>
      <w:smallCaps/>
    </w:rPr>
  </w:style>
  <w:style w:type="paragraph" w:customStyle="1" w:styleId="TableListNumber">
    <w:name w:val="Table List Number"/>
    <w:basedOn w:val="ListNumber"/>
    <w:rsid w:val="00213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618"/>
    <w:pPr>
      <w:numPr>
        <w:numId w:val="9"/>
      </w:numPr>
    </w:pPr>
  </w:style>
  <w:style w:type="paragraph" w:customStyle="1" w:styleId="ListAlpha2">
    <w:name w:val="List Alpha 2"/>
    <w:basedOn w:val="List2"/>
    <w:rsid w:val="00213618"/>
    <w:pPr>
      <w:numPr>
        <w:numId w:val="8"/>
      </w:numPr>
    </w:pPr>
  </w:style>
  <w:style w:type="paragraph" w:styleId="List2">
    <w:name w:val="List 2"/>
    <w:basedOn w:val="BodyText"/>
    <w:rsid w:val="00213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6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6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618"/>
    <w:pPr>
      <w:numPr>
        <w:numId w:val="4"/>
      </w:numPr>
    </w:pPr>
  </w:style>
  <w:style w:type="paragraph" w:styleId="ListContinue2">
    <w:name w:val="List Continue 2"/>
    <w:basedOn w:val="List2"/>
    <w:rsid w:val="00213618"/>
    <w:pPr>
      <w:ind w:firstLine="0"/>
    </w:pPr>
  </w:style>
  <w:style w:type="paragraph" w:styleId="ListContinue3">
    <w:name w:val="List Continue 3"/>
    <w:basedOn w:val="List3"/>
    <w:rsid w:val="00213618"/>
    <w:pPr>
      <w:ind w:left="1021" w:firstLine="0"/>
    </w:pPr>
  </w:style>
  <w:style w:type="paragraph" w:styleId="ListContinue4">
    <w:name w:val="List Continue 4"/>
    <w:basedOn w:val="List4"/>
    <w:rsid w:val="00213618"/>
    <w:pPr>
      <w:ind w:firstLine="0"/>
    </w:pPr>
  </w:style>
  <w:style w:type="paragraph" w:styleId="ListContinue5">
    <w:name w:val="List Continue 5"/>
    <w:basedOn w:val="List5"/>
    <w:rsid w:val="00213618"/>
    <w:pPr>
      <w:ind w:firstLine="0"/>
    </w:pPr>
  </w:style>
  <w:style w:type="paragraph" w:styleId="ListNumber3">
    <w:name w:val="List Number 3"/>
    <w:basedOn w:val="List3"/>
    <w:rsid w:val="00213618"/>
    <w:pPr>
      <w:numPr>
        <w:numId w:val="5"/>
      </w:numPr>
    </w:pPr>
  </w:style>
  <w:style w:type="paragraph" w:styleId="ListNumber4">
    <w:name w:val="List Number 4"/>
    <w:basedOn w:val="List4"/>
    <w:rsid w:val="00213618"/>
    <w:pPr>
      <w:numPr>
        <w:numId w:val="6"/>
      </w:numPr>
    </w:pPr>
  </w:style>
  <w:style w:type="paragraph" w:styleId="ListNumber5">
    <w:name w:val="List Number 5"/>
    <w:basedOn w:val="List5"/>
    <w:rsid w:val="00213618"/>
    <w:pPr>
      <w:numPr>
        <w:numId w:val="7"/>
      </w:numPr>
    </w:pPr>
  </w:style>
  <w:style w:type="paragraph" w:styleId="BlockText">
    <w:name w:val="Block Text"/>
    <w:basedOn w:val="Normal"/>
    <w:rsid w:val="00213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618"/>
    <w:rPr>
      <w:sz w:val="16"/>
      <w:vertAlign w:val="superscript"/>
    </w:rPr>
  </w:style>
  <w:style w:type="character" w:customStyle="1" w:styleId="Symbols">
    <w:name w:val="Symbols"/>
    <w:basedOn w:val="DefaultParagraphFont"/>
    <w:rsid w:val="00213618"/>
    <w:rPr>
      <w:rFonts w:ascii="Symbol" w:hAnsi="Symbol"/>
    </w:rPr>
  </w:style>
  <w:style w:type="character" w:customStyle="1" w:styleId="MenuOptions">
    <w:name w:val="Menu Options"/>
    <w:basedOn w:val="DefaultParagraphFont"/>
    <w:rsid w:val="00213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618"/>
    <w:rPr>
      <w:b/>
    </w:rPr>
  </w:style>
  <w:style w:type="character" w:customStyle="1" w:styleId="Underlined">
    <w:name w:val="Underlined"/>
    <w:basedOn w:val="DefaultParagraphFont"/>
    <w:rsid w:val="00213618"/>
    <w:rPr>
      <w:u w:val="single"/>
    </w:rPr>
  </w:style>
  <w:style w:type="paragraph" w:customStyle="1" w:styleId="TableBodyTextRight">
    <w:name w:val="Table Body Text Right"/>
    <w:basedOn w:val="TableBodyText"/>
    <w:rsid w:val="00213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618"/>
    <w:rPr>
      <w:sz w:val="18"/>
    </w:rPr>
  </w:style>
  <w:style w:type="paragraph" w:customStyle="1" w:styleId="BodySmallRight">
    <w:name w:val="Body Small Right"/>
    <w:basedOn w:val="BodyTextRight"/>
    <w:rsid w:val="00213618"/>
    <w:rPr>
      <w:sz w:val="18"/>
      <w:szCs w:val="18"/>
    </w:rPr>
  </w:style>
  <w:style w:type="paragraph" w:customStyle="1" w:styleId="MarginEdition">
    <w:name w:val="Margin Edition"/>
    <w:basedOn w:val="MarginNote"/>
    <w:rsid w:val="00213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618"/>
    <w:rPr>
      <w:sz w:val="2"/>
      <w:szCs w:val="2"/>
    </w:rPr>
  </w:style>
  <w:style w:type="character" w:customStyle="1" w:styleId="Small">
    <w:name w:val="Small"/>
    <w:basedOn w:val="DefaultParagraphFont"/>
    <w:rsid w:val="00213618"/>
    <w:rPr>
      <w:sz w:val="16"/>
    </w:rPr>
  </w:style>
  <w:style w:type="paragraph" w:customStyle="1" w:styleId="WideTable">
    <w:name w:val="Wide Table"/>
    <w:basedOn w:val="Normal"/>
    <w:rsid w:val="00213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618"/>
  </w:style>
  <w:style w:type="paragraph" w:styleId="Quote">
    <w:name w:val="Quote"/>
    <w:basedOn w:val="Heading1"/>
    <w:link w:val="QuoteChar"/>
    <w:qFormat/>
    <w:rsid w:val="00213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618"/>
    <w:pPr>
      <w:pageBreakBefore/>
    </w:pPr>
  </w:style>
  <w:style w:type="paragraph" w:customStyle="1" w:styleId="Border">
    <w:name w:val="Border"/>
    <w:basedOn w:val="Normal"/>
    <w:qFormat/>
    <w:rsid w:val="00213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618"/>
    <w:rPr>
      <w:u w:val="single"/>
    </w:rPr>
  </w:style>
  <w:style w:type="character" w:customStyle="1" w:styleId="BoldandItalics">
    <w:name w:val="Bold and Italics"/>
    <w:qFormat/>
    <w:rsid w:val="00213618"/>
    <w:rPr>
      <w:b/>
      <w:i/>
      <w:u w:val="none"/>
    </w:rPr>
  </w:style>
  <w:style w:type="paragraph" w:styleId="BalloonText">
    <w:name w:val="Balloon Text"/>
    <w:basedOn w:val="Normal"/>
    <w:link w:val="BalloonTextChar"/>
    <w:rsid w:val="00213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618"/>
    <w:pPr>
      <w:spacing w:before="0" w:after="0"/>
    </w:pPr>
  </w:style>
  <w:style w:type="paragraph" w:customStyle="1" w:styleId="BodyTextBold">
    <w:name w:val="Body Text Bold"/>
    <w:basedOn w:val="BodyText"/>
    <w:qFormat/>
    <w:rsid w:val="00213618"/>
    <w:rPr>
      <w:b/>
    </w:rPr>
  </w:style>
  <w:style w:type="character" w:styleId="Hyperlink">
    <w:name w:val="Hyperlink"/>
    <w:basedOn w:val="DefaultParagraphFont"/>
    <w:uiPriority w:val="99"/>
    <w:unhideWhenUsed/>
    <w:rsid w:val="001E5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3342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MSL975058 Perform immunohaematological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