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EC1" w:rsidP="00715E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MSL975054 Perform physical examination of forensic samples</w:t>
      </w:r>
      <w:r>
        <w:fldChar w:fldCharType="end"/>
      </w:r>
    </w:p>
    <w:p w:rsidR="00715EC1" w:rsidP="00715EC1">
      <w:pPr>
        <w:pStyle w:val="Version"/>
        <w:sectPr w:rsidSect="00B36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6361" w:rsidP="00B36361">
      <w:pPr>
        <w:pStyle w:val="SuperHeading"/>
      </w:pPr>
      <w:r w:rsidRPr="00B36361">
        <w:t>Assessment Requirements for MSL975054 Perform physical examination of forensic samples</w:t>
      </w:r>
    </w:p>
    <w:p w:rsidR="00000000" w:rsidRPr="00B36361" w:rsidP="00B36361">
      <w:pPr>
        <w:pStyle w:val="Heading1"/>
      </w:pPr>
      <w:bookmarkStart w:id="1" w:name="O_985493"/>
      <w:bookmarkEnd w:id="1"/>
      <w:r w:rsidRPr="00B363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B36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6361" w:rsidP="00B36361">
            <w:pPr>
              <w:pStyle w:val="BodyText"/>
            </w:pPr>
            <w:r w:rsidRPr="00B3636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6361">
            <w:pPr>
              <w:pStyle w:val="BodyText"/>
              <w:rPr>
                <w:lang w:val="en-NZ"/>
              </w:rPr>
            </w:pPr>
            <w:r w:rsidRPr="00B36361">
              <w:rPr>
                <w:rStyle w:val="SpecialBold"/>
              </w:rPr>
              <w:t>Comments</w:t>
            </w:r>
          </w:p>
        </w:tc>
      </w:tr>
      <w:tr w:rsidTr="00B36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61">
            <w:pPr>
              <w:pStyle w:val="BodyText"/>
              <w:rPr>
                <w:lang w:val="en-NZ"/>
              </w:rPr>
            </w:pPr>
            <w:r w:rsidRPr="00B3636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61" w:rsidP="00B36361">
            <w:pPr>
              <w:pStyle w:val="BodyText"/>
            </w:pPr>
            <w:r w:rsidRPr="00B36361">
              <w:t xml:space="preserve">This version was released in </w:t>
            </w:r>
            <w:r w:rsidRPr="00B36361">
              <w:rPr>
                <w:rStyle w:val="Emphasis"/>
              </w:rPr>
              <w:t>MSL Laboratory Operations Training Package Release 2.0.</w:t>
            </w:r>
          </w:p>
          <w:p w:rsidR="00000000" w:rsidRPr="00B36361" w:rsidP="00B36361">
            <w:pPr>
              <w:pStyle w:val="BodyText"/>
            </w:pPr>
            <w:r w:rsidRPr="00B36361">
              <w:t>Supersedes and equivalent to MSL975026 Perform physical examination of forensic samples. Foundation skill information added. Range of conditions removed. Assessment requirements amended. Equivalent outcome.</w:t>
            </w:r>
          </w:p>
        </w:tc>
      </w:tr>
    </w:tbl>
    <w:p w:rsidR="00000000" w:rsidRPr="00B36361" w:rsidP="00B36361">
      <w:pPr>
        <w:pStyle w:val="BodyText"/>
      </w:pPr>
    </w:p>
    <w:p w:rsidR="00000000" w:rsidRPr="00B36361" w:rsidP="00B36361">
      <w:pPr>
        <w:pStyle w:val="AllowPageBreak"/>
      </w:pPr>
    </w:p>
    <w:p w:rsidR="00000000" w:rsidRPr="00B36361" w:rsidP="00B36361">
      <w:pPr>
        <w:pStyle w:val="Heading1"/>
      </w:pPr>
      <w:bookmarkStart w:id="2" w:name="O_985496"/>
      <w:bookmarkEnd w:id="2"/>
      <w:r w:rsidRPr="00B36361">
        <w:t>Performance Evidence</w:t>
      </w:r>
    </w:p>
    <w:p w:rsidR="00000000" w:rsidRPr="00B36361" w:rsidP="00715EC1">
      <w:pPr>
        <w:pStyle w:val="BodyText"/>
      </w:pPr>
      <w:r w:rsidRPr="00B36361">
        <w:t>There mus</w:t>
      </w:r>
      <w:r w:rsidRPr="00B36361">
        <w:t>t be evidence the candidate has completed the tasks outlined in the elements and performance criteria of this unit, and:</w:t>
      </w:r>
    </w:p>
    <w:p w:rsidR="00000000" w:rsidRPr="00B36361" w:rsidP="00B36361">
      <w:pPr>
        <w:pStyle w:val="ListBullet"/>
      </w:pPr>
      <w:r w:rsidRPr="00B36361">
        <w:t>safely performed physical examination and testing of at least 3 different forensic samples to produce valid and reliable results.</w:t>
      </w:r>
    </w:p>
    <w:p w:rsidR="00000000" w:rsidRPr="00B36361" w:rsidP="00B36361">
      <w:pPr>
        <w:pStyle w:val="AllowPageBreak"/>
      </w:pPr>
    </w:p>
    <w:p w:rsidR="00000000" w:rsidRPr="00B36361" w:rsidP="00B36361">
      <w:pPr>
        <w:pStyle w:val="Heading1"/>
      </w:pPr>
      <w:bookmarkStart w:id="3" w:name="O_985495"/>
      <w:bookmarkEnd w:id="3"/>
      <w:r w:rsidRPr="00B36361">
        <w:t>Knowledge Evidence</w:t>
      </w:r>
    </w:p>
    <w:p w:rsidR="00000000" w:rsidRPr="00B36361" w:rsidP="00715EC1">
      <w:pPr>
        <w:pStyle w:val="BodyText"/>
      </w:pPr>
      <w:r w:rsidRPr="00B36361">
        <w:t>There must be evidence the candidate has knowledge of:</w:t>
      </w:r>
    </w:p>
    <w:p w:rsidR="00000000" w:rsidRPr="00B36361" w:rsidP="00B36361">
      <w:pPr>
        <w:pStyle w:val="ListBullet"/>
      </w:pPr>
      <w:r w:rsidRPr="00B36361">
        <w:t>terminology, concepts and principles related to preparation, physical examination and testing of forensic samples/evidence</w:t>
      </w:r>
    </w:p>
    <w:p w:rsidR="00000000" w:rsidRPr="00B36361" w:rsidP="00B36361">
      <w:pPr>
        <w:pStyle w:val="ListBullet"/>
      </w:pPr>
      <w:r w:rsidRPr="00B36361">
        <w:t xml:space="preserve">legal, regulatory, policy, procedural and </w:t>
      </w:r>
      <w:r w:rsidRPr="00B36361">
        <w:t>quality system requirements for the collection, preservation, security, continuity and disposal of samples and evidence (exhibits), forensic examinations and analyses</w:t>
      </w:r>
    </w:p>
    <w:p w:rsidR="00000000" w:rsidRPr="00B36361" w:rsidP="00B36361">
      <w:pPr>
        <w:pStyle w:val="ListBullet"/>
      </w:pPr>
      <w:r w:rsidRPr="00B36361">
        <w:t>potential limitations of own specialist knowledge and when to seek advice from other serv</w:t>
      </w:r>
      <w:r w:rsidRPr="00B36361">
        <w:t>ices</w:t>
      </w:r>
    </w:p>
    <w:p w:rsidR="00000000" w:rsidRPr="00B36361" w:rsidP="00B36361">
      <w:pPr>
        <w:pStyle w:val="ListBullet"/>
      </w:pPr>
      <w:r w:rsidRPr="00B36361">
        <w:t>services available to assist laboratory examination and interpretation of physical evidence</w:t>
      </w:r>
    </w:p>
    <w:p w:rsidR="00000000" w:rsidRPr="00B36361" w:rsidP="00B36361">
      <w:pPr>
        <w:pStyle w:val="ListBullet"/>
      </w:pPr>
      <w:r w:rsidRPr="00B36361">
        <w:t>peer review processes for examination of test findings</w:t>
      </w:r>
    </w:p>
    <w:p w:rsidR="00000000" w:rsidRPr="00B36361" w:rsidP="00B36361">
      <w:pPr>
        <w:pStyle w:val="ListBullet"/>
      </w:pPr>
      <w:r w:rsidRPr="00B36361">
        <w:t>typical samples:</w:t>
      </w:r>
    </w:p>
    <w:p w:rsidR="00000000" w:rsidRPr="00B36361" w:rsidP="00B36361">
      <w:pPr>
        <w:pStyle w:val="ListBullet2"/>
      </w:pPr>
      <w:r w:rsidRPr="00B36361">
        <w:t>fingerprints</w:t>
      </w:r>
    </w:p>
    <w:p w:rsidR="00000000" w:rsidRPr="00B36361" w:rsidP="00B36361">
      <w:pPr>
        <w:pStyle w:val="ListBullet2"/>
      </w:pPr>
      <w:r w:rsidRPr="00B36361">
        <w:t>firearms and tool marks</w:t>
      </w:r>
    </w:p>
    <w:p w:rsidR="00000000" w:rsidRPr="00B36361" w:rsidP="00B36361">
      <w:pPr>
        <w:pStyle w:val="ListBullet2"/>
      </w:pPr>
      <w:r w:rsidRPr="00B36361">
        <w:t>ammunition</w:t>
      </w:r>
    </w:p>
    <w:p w:rsidR="00000000" w:rsidRPr="00B36361" w:rsidP="00B36361">
      <w:pPr>
        <w:pStyle w:val="ListBullet2"/>
      </w:pPr>
      <w:r w:rsidRPr="00B36361">
        <w:t>ballistics</w:t>
      </w:r>
    </w:p>
    <w:p w:rsidR="00000000" w:rsidRPr="00B36361" w:rsidP="00B36361">
      <w:pPr>
        <w:pStyle w:val="ListBullet2"/>
      </w:pPr>
      <w:r w:rsidRPr="00B36361">
        <w:t xml:space="preserve">vehicles </w:t>
      </w:r>
    </w:p>
    <w:p w:rsidR="00000000" w:rsidRPr="00B36361" w:rsidP="00B36361">
      <w:pPr>
        <w:pStyle w:val="ListBullet2"/>
      </w:pPr>
      <w:r w:rsidRPr="00B36361">
        <w:t>documents and handwriting</w:t>
      </w:r>
    </w:p>
    <w:p w:rsidR="00000000" w:rsidRPr="00B36361" w:rsidP="00B36361">
      <w:pPr>
        <w:pStyle w:val="ListBullet"/>
      </w:pPr>
      <w:r w:rsidRPr="00B36361">
        <w:t>physical tests and examinations:</w:t>
      </w:r>
    </w:p>
    <w:p w:rsidR="00000000" w:rsidRPr="00B36361" w:rsidP="00B36361">
      <w:pPr>
        <w:pStyle w:val="ListBullet2"/>
      </w:pPr>
      <w:r w:rsidRPr="00B36361">
        <w:t>precise measurement of position, orientation and dimensions (e.g. particle size)</w:t>
      </w:r>
    </w:p>
    <w:p w:rsidR="00000000" w:rsidRPr="00B36361" w:rsidP="00B36361">
      <w:pPr>
        <w:pStyle w:val="ListBullet2"/>
      </w:pPr>
      <w:r w:rsidRPr="00B36361">
        <w:t>mass, density and specific gravity (e.g. compaction)</w:t>
      </w:r>
    </w:p>
    <w:p w:rsidR="00000000" w:rsidRPr="00B36361" w:rsidP="00B36361">
      <w:pPr>
        <w:pStyle w:val="ListBullet2"/>
      </w:pPr>
      <w:r w:rsidRPr="00B36361">
        <w:t>thermal tests (e.g. combustion properties)</w:t>
      </w:r>
    </w:p>
    <w:p w:rsidR="00000000" w:rsidRPr="00B36361" w:rsidP="00B36361">
      <w:pPr>
        <w:pStyle w:val="ListBullet2"/>
      </w:pPr>
      <w:r w:rsidRPr="00B36361">
        <w:t>optical tests (e.g</w:t>
      </w:r>
      <w:r w:rsidRPr="00B36361">
        <w:t>. colour matching)</w:t>
      </w:r>
    </w:p>
    <w:p w:rsidR="00000000" w:rsidRPr="00B36361" w:rsidP="00B36361">
      <w:pPr>
        <w:pStyle w:val="ListBullet2"/>
      </w:pPr>
      <w:r w:rsidRPr="00B36361">
        <w:t>acoustic tests (e.g. loudness)</w:t>
      </w:r>
    </w:p>
    <w:p w:rsidR="00000000" w:rsidRPr="00B36361" w:rsidP="00B36361">
      <w:pPr>
        <w:pStyle w:val="ListBullet2"/>
      </w:pPr>
      <w:r w:rsidRPr="00B36361">
        <w:t>electrical tests (e.g. insulation)</w:t>
      </w:r>
    </w:p>
    <w:p w:rsidR="00000000" w:rsidRPr="00B36361" w:rsidP="00B36361">
      <w:pPr>
        <w:pStyle w:val="ListBullet2"/>
      </w:pPr>
      <w:r w:rsidRPr="00B36361">
        <w:t>magnetic tests (e.g. intrinsic induction)</w:t>
      </w:r>
    </w:p>
    <w:p w:rsidR="00000000" w:rsidRPr="00B36361" w:rsidP="00B36361">
      <w:pPr>
        <w:pStyle w:val="ListBullet"/>
      </w:pPr>
      <w:r w:rsidRPr="00B36361">
        <w:t>validation checks and/or calibration standards:</w:t>
      </w:r>
    </w:p>
    <w:p w:rsidR="00000000" w:rsidRPr="00B36361" w:rsidP="00B36361">
      <w:pPr>
        <w:pStyle w:val="ListBullet2"/>
      </w:pPr>
      <w:r w:rsidRPr="00B36361">
        <w:t>positive and known positive controls</w:t>
      </w:r>
    </w:p>
    <w:p w:rsidR="00000000" w:rsidRPr="00B36361" w:rsidP="00B36361">
      <w:pPr>
        <w:pStyle w:val="ListBullet2"/>
      </w:pPr>
      <w:r w:rsidRPr="00B36361">
        <w:t>negative controls (e.g. substrate blanks)</w:t>
      </w:r>
    </w:p>
    <w:p w:rsidR="00000000" w:rsidRPr="00B36361" w:rsidP="00B36361">
      <w:pPr>
        <w:pStyle w:val="ListBullet2"/>
      </w:pPr>
      <w:r w:rsidRPr="00B36361">
        <w:t>recovery check controls</w:t>
      </w:r>
    </w:p>
    <w:p w:rsidR="00000000" w:rsidRPr="00B36361" w:rsidP="00B36361">
      <w:pPr>
        <w:pStyle w:val="ListBullet2"/>
      </w:pPr>
      <w:r w:rsidRPr="00B36361">
        <w:t>certified reference materials</w:t>
      </w:r>
    </w:p>
    <w:p w:rsidR="00000000" w:rsidRPr="00B36361" w:rsidP="00B36361">
      <w:pPr>
        <w:pStyle w:val="ListBullet"/>
      </w:pPr>
      <w:r w:rsidRPr="00B36361">
        <w:t>methods to reviewing laboratory methodology and test results:</w:t>
      </w:r>
    </w:p>
    <w:p w:rsidR="00000000" w:rsidRPr="00B36361" w:rsidP="00B36361">
      <w:pPr>
        <w:pStyle w:val="ListBullet2"/>
      </w:pPr>
      <w:r w:rsidRPr="00B36361">
        <w:t>assessing the methodology for appropriate application to evidence</w:t>
      </w:r>
    </w:p>
    <w:p w:rsidR="00000000" w:rsidRPr="00B36361" w:rsidP="00B36361">
      <w:pPr>
        <w:pStyle w:val="ListBullet2"/>
      </w:pPr>
      <w:r w:rsidRPr="00B36361">
        <w:t>assessing chain of custody and sample handling to ensure integrity</w:t>
      </w:r>
    </w:p>
    <w:p w:rsidR="00000000" w:rsidRPr="00B36361" w:rsidP="00B36361">
      <w:pPr>
        <w:pStyle w:val="ListBullet2"/>
      </w:pPr>
      <w:r w:rsidRPr="00B36361">
        <w:t>assessing testing procedures for compliance with quality system and judicial requirements</w:t>
      </w:r>
    </w:p>
    <w:p w:rsidR="00000000" w:rsidRPr="00B36361" w:rsidP="00B36361">
      <w:pPr>
        <w:pStyle w:val="ListBullet2"/>
      </w:pPr>
      <w:r w:rsidRPr="00B36361">
        <w:t>evaluating interpretation of test results for validity</w:t>
      </w:r>
    </w:p>
    <w:p w:rsidR="00000000" w:rsidRPr="00B36361" w:rsidP="00B36361">
      <w:pPr>
        <w:pStyle w:val="ListBullet"/>
      </w:pPr>
      <w:r w:rsidRPr="00B36361">
        <w:t>principles and purpose of test methods implemented (why they are used and what they demonstrate)</w:t>
      </w:r>
    </w:p>
    <w:p w:rsidR="00000000" w:rsidRPr="00B36361" w:rsidP="00B36361">
      <w:pPr>
        <w:pStyle w:val="ListBullet"/>
      </w:pPr>
      <w:r w:rsidRPr="00B36361">
        <w:t>technological</w:t>
      </w:r>
      <w:r w:rsidRPr="00B36361">
        <w:t xml:space="preserve"> advances that include automation </w:t>
      </w:r>
    </w:p>
    <w:p w:rsidR="00000000" w:rsidRPr="00B36361" w:rsidP="00B36361">
      <w:pPr>
        <w:pStyle w:val="ListBullet"/>
      </w:pPr>
      <w:r w:rsidRPr="00B36361">
        <w:t>awareness of environmental sustainability issues as they relate to the work task</w:t>
      </w:r>
    </w:p>
    <w:p w:rsidR="00000000" w:rsidRPr="00B36361" w:rsidP="00B36361">
      <w:pPr>
        <w:pStyle w:val="ListBullet"/>
      </w:pPr>
      <w:r w:rsidRPr="00B36361">
        <w:t xml:space="preserve">legal, ethical and work health and safety (WHS) requirements specific to the work task including traceability, confidentiality and security </w:t>
      </w:r>
      <w:r w:rsidRPr="00B36361">
        <w:t>requirements of all client information, and laboratory data and records.</w:t>
      </w:r>
    </w:p>
    <w:p w:rsidR="00000000" w:rsidRPr="00B36361" w:rsidP="00B36361">
      <w:pPr>
        <w:pStyle w:val="AllowPageBreak"/>
      </w:pPr>
    </w:p>
    <w:p w:rsidR="00000000" w:rsidRPr="00B36361" w:rsidP="00B36361">
      <w:pPr>
        <w:pStyle w:val="Heading1"/>
      </w:pPr>
      <w:bookmarkStart w:id="4" w:name="O_985494"/>
      <w:bookmarkEnd w:id="4"/>
      <w:r w:rsidRPr="00B36361">
        <w:t>Assessment Conditions</w:t>
      </w:r>
    </w:p>
    <w:p w:rsidR="00000000" w:rsidRPr="00B36361" w:rsidP="00715EC1">
      <w:pPr>
        <w:pStyle w:val="BodyText"/>
      </w:pPr>
      <w:r w:rsidRPr="00B36361">
        <w:t>Skills must have been demonstrated in the workplace or in a simulated environment that reflects workplace conditions and contingencies. The foll</w:t>
      </w:r>
      <w:r w:rsidRPr="00B36361">
        <w:t xml:space="preserve">owing conditions must be met for this unit: </w:t>
      </w:r>
    </w:p>
    <w:p w:rsidR="00000000" w:rsidRPr="00B36361" w:rsidP="00B36361">
      <w:pPr>
        <w:pStyle w:val="ListBullet"/>
      </w:pPr>
      <w:r w:rsidRPr="00B36361">
        <w:t xml:space="preserve">use of suitable facilities, equipment and resources, including: </w:t>
      </w:r>
    </w:p>
    <w:p w:rsidR="00000000" w:rsidRPr="00B36361" w:rsidP="00B36361">
      <w:pPr>
        <w:pStyle w:val="ListBullet2"/>
      </w:pPr>
      <w:r w:rsidRPr="00B36361">
        <w:t>a standard laboratory</w:t>
      </w:r>
    </w:p>
    <w:p w:rsidR="00000000" w:rsidRPr="00B36361" w:rsidP="00B36361">
      <w:pPr>
        <w:pStyle w:val="ListBullet2"/>
      </w:pPr>
      <w:r w:rsidRPr="00B36361">
        <w:t>relevant equipment and instruments for the physical examination of forensic samples, laboratory reagents and equipment, st</w:t>
      </w:r>
      <w:r w:rsidRPr="00B36361">
        <w:t>andard operating procedures (SOPs) and test methods.</w:t>
      </w:r>
    </w:p>
    <w:p w:rsidR="00000000" w:rsidRPr="00B36361" w:rsidP="00715EC1">
      <w:pPr>
        <w:pStyle w:val="BodyText"/>
      </w:pPr>
      <w:r w:rsidRPr="00B36361">
        <w:br/>
        <w:t>Assessors must satisfy the NVR/AQTF mandatory competency requirements for assessors.</w:t>
      </w:r>
    </w:p>
    <w:p w:rsidR="00000000" w:rsidRPr="00B36361" w:rsidP="00B36361">
      <w:pPr>
        <w:pStyle w:val="AllowPageBreak"/>
      </w:pPr>
    </w:p>
    <w:p w:rsidR="00000000" w:rsidRPr="00B36361" w:rsidP="00B36361">
      <w:pPr>
        <w:pStyle w:val="Heading1"/>
      </w:pPr>
      <w:bookmarkStart w:id="5" w:name="O_985492"/>
      <w:bookmarkEnd w:id="5"/>
      <w:r w:rsidRPr="00B36361">
        <w:t>Links</w:t>
      </w:r>
    </w:p>
    <w:p w:rsidR="00000000" w:rsidRPr="00B36361" w:rsidP="00715EC1">
      <w:pPr>
        <w:pStyle w:val="BodyText"/>
      </w:pPr>
      <w:r w:rsidRPr="00B36361">
        <w:t>Training Package Companion</w:t>
      </w:r>
      <w:r w:rsidRPr="00B36361">
        <w:t xml:space="preserve">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3077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36361" w:rsidP="00B36361"/>
    <w:sectPr w:rsidSect="00B363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61" w:rsidRPr="00715EC1" w:rsidP="00715E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EC1" w:rsidP="00B36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5EC1" w:rsidP="00B36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5EC1" w:rsidP="00B36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E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6361" w:rsidRPr="00715EC1" w:rsidP="00715E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EC1" w:rsidRPr="002D2AF8" w:rsidP="00B36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MSL975054 Perform physical examination of forensic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2020</w:t>
    </w:r>
    <w:r>
      <w:fldChar w:fldCharType="end"/>
    </w:r>
  </w:p>
  <w:p w:rsidR="00715EC1" w:rsidP="00B36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388D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B21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5230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6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6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6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6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6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6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6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6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6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6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6361"/>
  </w:style>
  <w:style w:type="character" w:customStyle="1" w:styleId="Heading1Char">
    <w:name w:val="Heading 1 Char"/>
    <w:basedOn w:val="DefaultParagraphFont"/>
    <w:link w:val="Heading1"/>
    <w:rsid w:val="00B36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6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6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63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6361"/>
    <w:rPr>
      <w:b/>
      <w:spacing w:val="0"/>
    </w:rPr>
  </w:style>
  <w:style w:type="paragraph" w:styleId="ListBullet2">
    <w:name w:val="List Bullet 2"/>
    <w:basedOn w:val="List2"/>
    <w:rsid w:val="00B363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6361"/>
    <w:rPr>
      <w:i/>
    </w:rPr>
  </w:style>
  <w:style w:type="paragraph" w:customStyle="1" w:styleId="SuperHeading">
    <w:name w:val="SuperHeading"/>
    <w:basedOn w:val="Normal"/>
    <w:rsid w:val="00B36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6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6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6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6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6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6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6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6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6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6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6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6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6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6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6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6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6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6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6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6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6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6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6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6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6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6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6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6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6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6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6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6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63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6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6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6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6361"/>
  </w:style>
  <w:style w:type="paragraph" w:styleId="TableofFigures">
    <w:name w:val="table of figures"/>
    <w:basedOn w:val="Normal"/>
    <w:next w:val="Normal"/>
    <w:semiHidden/>
    <w:rsid w:val="00B36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63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6361"/>
    <w:rPr>
      <w:rFonts w:ascii="Wingdings" w:hAnsi="Wingdings"/>
    </w:rPr>
  </w:style>
  <w:style w:type="paragraph" w:customStyle="1" w:styleId="TableHeading">
    <w:name w:val="Table Heading"/>
    <w:basedOn w:val="HeadingBase"/>
    <w:rsid w:val="00B363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6361"/>
    <w:rPr>
      <w:color w:val="0033CC"/>
      <w:u w:val="none"/>
    </w:rPr>
  </w:style>
  <w:style w:type="paragraph" w:customStyle="1" w:styleId="BodyTextRight">
    <w:name w:val="Body Text Right"/>
    <w:basedOn w:val="BodyText"/>
    <w:rsid w:val="00B36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6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63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6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6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6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6361"/>
    <w:rPr>
      <w:sz w:val="32"/>
    </w:rPr>
  </w:style>
  <w:style w:type="paragraph" w:customStyle="1" w:styleId="HeadingProcedure">
    <w:name w:val="Heading Procedure"/>
    <w:basedOn w:val="HeadingBase"/>
    <w:next w:val="Normal"/>
    <w:rsid w:val="00B36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6361"/>
    <w:pPr>
      <w:spacing w:before="60" w:after="60"/>
    </w:pPr>
  </w:style>
  <w:style w:type="paragraph" w:styleId="ListContinue">
    <w:name w:val="List Continue"/>
    <w:basedOn w:val="List"/>
    <w:rsid w:val="00B36361"/>
    <w:pPr>
      <w:ind w:firstLine="0"/>
    </w:pPr>
  </w:style>
  <w:style w:type="paragraph" w:customStyle="1" w:styleId="ListNote">
    <w:name w:val="List Note"/>
    <w:basedOn w:val="List"/>
    <w:rsid w:val="00B36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6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6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6361"/>
    <w:rPr>
      <w:rFonts w:ascii="Courier New" w:hAnsi="Courier New"/>
    </w:rPr>
  </w:style>
  <w:style w:type="paragraph" w:customStyle="1" w:styleId="NoteBullet">
    <w:name w:val="Note Bullet"/>
    <w:basedOn w:val="Note"/>
    <w:rsid w:val="00B36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6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6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6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63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6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6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6361"/>
    <w:rPr>
      <w:b/>
      <w:smallCaps/>
    </w:rPr>
  </w:style>
  <w:style w:type="paragraph" w:customStyle="1" w:styleId="TableListNumber">
    <w:name w:val="Table List Number"/>
    <w:basedOn w:val="ListNumber"/>
    <w:rsid w:val="00B36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6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6361"/>
    <w:pPr>
      <w:numPr>
        <w:numId w:val="9"/>
      </w:numPr>
    </w:pPr>
  </w:style>
  <w:style w:type="paragraph" w:customStyle="1" w:styleId="ListAlpha2">
    <w:name w:val="List Alpha 2"/>
    <w:basedOn w:val="List2"/>
    <w:rsid w:val="00B36361"/>
    <w:pPr>
      <w:numPr>
        <w:numId w:val="8"/>
      </w:numPr>
    </w:pPr>
  </w:style>
  <w:style w:type="paragraph" w:styleId="List2">
    <w:name w:val="List 2"/>
    <w:basedOn w:val="BodyText"/>
    <w:rsid w:val="00B36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6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6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6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63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63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6361"/>
    <w:pPr>
      <w:numPr>
        <w:numId w:val="4"/>
      </w:numPr>
    </w:pPr>
  </w:style>
  <w:style w:type="paragraph" w:styleId="ListContinue2">
    <w:name w:val="List Continue 2"/>
    <w:basedOn w:val="List2"/>
    <w:rsid w:val="00B36361"/>
    <w:pPr>
      <w:ind w:firstLine="0"/>
    </w:pPr>
  </w:style>
  <w:style w:type="paragraph" w:styleId="ListContinue3">
    <w:name w:val="List Continue 3"/>
    <w:basedOn w:val="List3"/>
    <w:rsid w:val="00B36361"/>
    <w:pPr>
      <w:ind w:left="1021" w:firstLine="0"/>
    </w:pPr>
  </w:style>
  <w:style w:type="paragraph" w:styleId="ListContinue4">
    <w:name w:val="List Continue 4"/>
    <w:basedOn w:val="List4"/>
    <w:rsid w:val="00B36361"/>
    <w:pPr>
      <w:ind w:firstLine="0"/>
    </w:pPr>
  </w:style>
  <w:style w:type="paragraph" w:styleId="ListContinue5">
    <w:name w:val="List Continue 5"/>
    <w:basedOn w:val="List5"/>
    <w:rsid w:val="00B36361"/>
    <w:pPr>
      <w:ind w:firstLine="0"/>
    </w:pPr>
  </w:style>
  <w:style w:type="paragraph" w:styleId="ListNumber3">
    <w:name w:val="List Number 3"/>
    <w:basedOn w:val="List3"/>
    <w:rsid w:val="00B36361"/>
    <w:pPr>
      <w:numPr>
        <w:numId w:val="5"/>
      </w:numPr>
    </w:pPr>
  </w:style>
  <w:style w:type="paragraph" w:styleId="ListNumber4">
    <w:name w:val="List Number 4"/>
    <w:basedOn w:val="List4"/>
    <w:rsid w:val="00B36361"/>
    <w:pPr>
      <w:numPr>
        <w:numId w:val="6"/>
      </w:numPr>
    </w:pPr>
  </w:style>
  <w:style w:type="paragraph" w:styleId="ListNumber5">
    <w:name w:val="List Number 5"/>
    <w:basedOn w:val="List5"/>
    <w:rsid w:val="00B36361"/>
    <w:pPr>
      <w:numPr>
        <w:numId w:val="7"/>
      </w:numPr>
    </w:pPr>
  </w:style>
  <w:style w:type="paragraph" w:styleId="BlockText">
    <w:name w:val="Block Text"/>
    <w:basedOn w:val="Normal"/>
    <w:rsid w:val="00B36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6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6361"/>
    <w:rPr>
      <w:sz w:val="16"/>
      <w:vertAlign w:val="superscript"/>
    </w:rPr>
  </w:style>
  <w:style w:type="character" w:customStyle="1" w:styleId="Symbols">
    <w:name w:val="Symbols"/>
    <w:basedOn w:val="DefaultParagraphFont"/>
    <w:rsid w:val="00B36361"/>
    <w:rPr>
      <w:rFonts w:ascii="Symbol" w:hAnsi="Symbol"/>
    </w:rPr>
  </w:style>
  <w:style w:type="character" w:customStyle="1" w:styleId="MenuOptions">
    <w:name w:val="Menu Options"/>
    <w:basedOn w:val="DefaultParagraphFont"/>
    <w:rsid w:val="00B36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6361"/>
    <w:rPr>
      <w:b/>
    </w:rPr>
  </w:style>
  <w:style w:type="character" w:customStyle="1" w:styleId="Underlined">
    <w:name w:val="Underlined"/>
    <w:basedOn w:val="DefaultParagraphFont"/>
    <w:rsid w:val="00B36361"/>
    <w:rPr>
      <w:u w:val="single"/>
    </w:rPr>
  </w:style>
  <w:style w:type="paragraph" w:customStyle="1" w:styleId="TableBodyTextRight">
    <w:name w:val="Table Body Text Right"/>
    <w:basedOn w:val="TableBodyText"/>
    <w:rsid w:val="00B36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6361"/>
    <w:rPr>
      <w:sz w:val="18"/>
    </w:rPr>
  </w:style>
  <w:style w:type="paragraph" w:customStyle="1" w:styleId="BodySmallRight">
    <w:name w:val="Body Small Right"/>
    <w:basedOn w:val="BodyTextRight"/>
    <w:rsid w:val="00B36361"/>
    <w:rPr>
      <w:sz w:val="18"/>
      <w:szCs w:val="18"/>
    </w:rPr>
  </w:style>
  <w:style w:type="paragraph" w:customStyle="1" w:styleId="MarginEdition">
    <w:name w:val="Margin Edition"/>
    <w:basedOn w:val="MarginNote"/>
    <w:rsid w:val="00B36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6361"/>
    <w:rPr>
      <w:sz w:val="2"/>
      <w:szCs w:val="2"/>
    </w:rPr>
  </w:style>
  <w:style w:type="character" w:customStyle="1" w:styleId="Small">
    <w:name w:val="Small"/>
    <w:basedOn w:val="DefaultParagraphFont"/>
    <w:rsid w:val="00B36361"/>
    <w:rPr>
      <w:sz w:val="16"/>
    </w:rPr>
  </w:style>
  <w:style w:type="paragraph" w:customStyle="1" w:styleId="WideTable">
    <w:name w:val="Wide Table"/>
    <w:basedOn w:val="Normal"/>
    <w:rsid w:val="00B36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6361"/>
  </w:style>
  <w:style w:type="paragraph" w:styleId="Quote">
    <w:name w:val="Quote"/>
    <w:basedOn w:val="Heading1"/>
    <w:link w:val="QuoteChar"/>
    <w:qFormat/>
    <w:rsid w:val="00B36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6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6361"/>
    <w:pPr>
      <w:pageBreakBefore/>
    </w:pPr>
  </w:style>
  <w:style w:type="paragraph" w:customStyle="1" w:styleId="Border">
    <w:name w:val="Border"/>
    <w:basedOn w:val="Normal"/>
    <w:qFormat/>
    <w:rsid w:val="00B36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6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6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6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6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6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6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6361"/>
    <w:rPr>
      <w:u w:val="single"/>
    </w:rPr>
  </w:style>
  <w:style w:type="character" w:customStyle="1" w:styleId="BoldandItalics">
    <w:name w:val="Bold and Italics"/>
    <w:qFormat/>
    <w:rsid w:val="00B36361"/>
    <w:rPr>
      <w:b/>
      <w:i/>
      <w:u w:val="none"/>
    </w:rPr>
  </w:style>
  <w:style w:type="paragraph" w:styleId="BalloonText">
    <w:name w:val="Balloon Text"/>
    <w:basedOn w:val="Normal"/>
    <w:link w:val="BalloonTextChar"/>
    <w:rsid w:val="00B36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6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6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6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6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6361"/>
    <w:pPr>
      <w:spacing w:before="0" w:after="0"/>
    </w:pPr>
  </w:style>
  <w:style w:type="paragraph" w:customStyle="1" w:styleId="BodyTextBold">
    <w:name w:val="Body Text Bold"/>
    <w:basedOn w:val="BodyText"/>
    <w:qFormat/>
    <w:rsid w:val="00B36361"/>
    <w:rPr>
      <w:b/>
    </w:rPr>
  </w:style>
  <w:style w:type="character" w:styleId="Hyperlink">
    <w:name w:val="Hyperlink"/>
    <w:basedOn w:val="DefaultParagraphFont"/>
    <w:uiPriority w:val="99"/>
    <w:unhideWhenUsed/>
    <w:rsid w:val="00715E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470</Words>
  <Characters>3275</Characters>
  <Application>Microsoft Office Word</Application>
  <DocSecurity>0</DocSecurity>
  <Lines>88</Lines>
  <Paragraphs>65</Paragraphs>
  <ScaleCrop>false</ScaleCrop>
  <Company>Author-it Software Corporation Ltd.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MSL975054 Perform physical examination of forensic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2020-04-28T07:05:00Z</dcterms:created>
  <dcterms:modified xsi:type="dcterms:W3CDTF">2020-04-28T07:05:00Z</dcterms:modified>
</cp:coreProperties>
</file>