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353" w:rsidP="00E973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MSL975053 Perform complex laboratory testing of forensic samples</w:t>
      </w:r>
      <w:r>
        <w:fldChar w:fldCharType="end"/>
      </w:r>
    </w:p>
    <w:p w:rsidR="00E97353" w:rsidP="00E97353">
      <w:pPr>
        <w:pStyle w:val="Version"/>
        <w:sectPr w:rsidSect="00FE47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7E3" w:rsidP="00FE47E3">
      <w:pPr>
        <w:pStyle w:val="SuperHeading"/>
      </w:pPr>
      <w:r w:rsidRPr="00FE47E3">
        <w:t>Assessment Requirements for MSL975053 Perform complex laboratory testing of forensic samples</w:t>
      </w:r>
    </w:p>
    <w:p w:rsidR="00000000" w:rsidRPr="00FE47E3" w:rsidP="00FE47E3">
      <w:pPr>
        <w:pStyle w:val="Heading1"/>
      </w:pPr>
      <w:bookmarkStart w:id="1" w:name="O_985510"/>
      <w:bookmarkEnd w:id="1"/>
      <w:r w:rsidRPr="00FE47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FE47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E47E3" w:rsidP="00FE47E3">
            <w:pPr>
              <w:pStyle w:val="BodyText"/>
            </w:pPr>
            <w:r w:rsidRPr="00FE47E3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E47E3">
            <w:pPr>
              <w:pStyle w:val="BodyText"/>
              <w:rPr>
                <w:lang w:val="en-NZ"/>
              </w:rPr>
            </w:pPr>
            <w:r w:rsidRPr="00FE47E3">
              <w:rPr>
                <w:rStyle w:val="SpecialBold"/>
              </w:rPr>
              <w:t>Comments</w:t>
            </w:r>
          </w:p>
        </w:tc>
      </w:tr>
      <w:tr w:rsidTr="00FE47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7E3">
            <w:pPr>
              <w:pStyle w:val="BodyText"/>
              <w:rPr>
                <w:lang w:val="en-NZ"/>
              </w:rPr>
            </w:pPr>
            <w:r w:rsidRPr="00FE47E3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7E3" w:rsidP="00FE47E3">
            <w:pPr>
              <w:pStyle w:val="BodyText"/>
            </w:pPr>
            <w:r w:rsidRPr="00FE47E3">
              <w:t xml:space="preserve">This version was released in </w:t>
            </w:r>
            <w:r w:rsidRPr="00FE47E3">
              <w:rPr>
                <w:rStyle w:val="Emphasis"/>
              </w:rPr>
              <w:t>MSL Laboratory Operations Training Package Release 2.0.</w:t>
            </w:r>
          </w:p>
          <w:p w:rsidR="00000000" w:rsidRPr="00FE47E3" w:rsidP="00FE47E3">
            <w:pPr>
              <w:pStyle w:val="BodyText"/>
            </w:pPr>
            <w:r w:rsidRPr="00FE47E3">
              <w:t>Supersedes and equivalent to MSL975025 Perform complex laboratory testing of forensic samples. Foundation skill information added. Range of conditions removed. Assessment requirements amended.</w:t>
            </w:r>
          </w:p>
        </w:tc>
      </w:tr>
    </w:tbl>
    <w:p w:rsidR="00000000" w:rsidRPr="00FE47E3" w:rsidP="00FE47E3">
      <w:pPr>
        <w:pStyle w:val="BodyText"/>
      </w:pPr>
    </w:p>
    <w:p w:rsidR="00000000" w:rsidRPr="00FE47E3" w:rsidP="00FE47E3">
      <w:pPr>
        <w:pStyle w:val="AllowPageBreak"/>
      </w:pPr>
    </w:p>
    <w:p w:rsidR="00000000" w:rsidRPr="00FE47E3" w:rsidP="00FE47E3">
      <w:pPr>
        <w:pStyle w:val="Heading1"/>
      </w:pPr>
      <w:bookmarkStart w:id="2" w:name="O_985513"/>
      <w:bookmarkEnd w:id="2"/>
      <w:r w:rsidRPr="00FE47E3">
        <w:t>Performance Evidence</w:t>
      </w:r>
    </w:p>
    <w:p w:rsidR="00000000" w:rsidRPr="00FE47E3" w:rsidP="00E97353">
      <w:pPr>
        <w:pStyle w:val="BodyText"/>
      </w:pPr>
      <w:r w:rsidRPr="00FE47E3">
        <w:t xml:space="preserve">There must be evidence </w:t>
      </w:r>
      <w:r w:rsidRPr="00FE47E3">
        <w:t>the candidate has completed the tasks outlined in the elements and performance criteria of this unit, and:</w:t>
      </w:r>
    </w:p>
    <w:p w:rsidR="00000000" w:rsidRPr="00FE47E3" w:rsidP="00FE47E3">
      <w:pPr>
        <w:pStyle w:val="ListBullet"/>
      </w:pPr>
      <w:r w:rsidRPr="00FE47E3">
        <w:t>safely and effectively performed complex laboratory testing of 3 different forensic samples to produce valid and reliable results.</w:t>
      </w:r>
    </w:p>
    <w:p w:rsidR="00000000" w:rsidRPr="00FE47E3" w:rsidP="00FE47E3">
      <w:pPr>
        <w:pStyle w:val="AllowPageBreak"/>
      </w:pPr>
    </w:p>
    <w:p w:rsidR="00000000" w:rsidRPr="00FE47E3" w:rsidP="00FE47E3">
      <w:pPr>
        <w:pStyle w:val="Heading1"/>
      </w:pPr>
      <w:bookmarkStart w:id="3" w:name="O_985512"/>
      <w:bookmarkEnd w:id="3"/>
      <w:r w:rsidRPr="00FE47E3">
        <w:t>Knowledge Evidence</w:t>
      </w:r>
    </w:p>
    <w:p w:rsidR="00000000" w:rsidRPr="00FE47E3" w:rsidP="00FE47E3">
      <w:pPr>
        <w:pStyle w:val="ListBullet"/>
      </w:pPr>
      <w:r w:rsidRPr="00FE47E3">
        <w:t>There must be evidence the candidate has knowledge of:</w:t>
      </w:r>
    </w:p>
    <w:p w:rsidR="00000000" w:rsidRPr="00FE47E3" w:rsidP="00FE47E3">
      <w:pPr>
        <w:pStyle w:val="ListBullet"/>
      </w:pPr>
      <w:r w:rsidRPr="00FE47E3">
        <w:t>terminology and principles of locating, recording, collecting, storing, transporting, testing and reporting forensic samples and evidence</w:t>
      </w:r>
    </w:p>
    <w:p w:rsidR="00000000" w:rsidRPr="00FE47E3" w:rsidP="00FE47E3">
      <w:pPr>
        <w:pStyle w:val="ListBullet"/>
      </w:pPr>
      <w:r w:rsidRPr="00FE47E3">
        <w:t>legal, regulatory, policy, procedural and q</w:t>
      </w:r>
      <w:r w:rsidRPr="00FE47E3">
        <w:t>uality system requirements for the collection, preservation, security, continuity and disposal of forensic samples and evidence (exhibits)</w:t>
      </w:r>
    </w:p>
    <w:p w:rsidR="00000000" w:rsidRPr="00FE47E3" w:rsidP="00FE47E3">
      <w:pPr>
        <w:pStyle w:val="ListBullet"/>
      </w:pPr>
      <w:r w:rsidRPr="00FE47E3">
        <w:t>potential limitations of own specialist knowledge and when to seek advice from other services</w:t>
      </w:r>
    </w:p>
    <w:p w:rsidR="00000000" w:rsidRPr="00FE47E3" w:rsidP="00FE47E3">
      <w:pPr>
        <w:pStyle w:val="ListBullet"/>
      </w:pPr>
      <w:r w:rsidRPr="00FE47E3">
        <w:t>peer services available</w:t>
      </w:r>
      <w:r w:rsidRPr="00FE47E3">
        <w:t xml:space="preserve"> to assist laboratory examination, testing and interpretation of forensic samples</w:t>
      </w:r>
    </w:p>
    <w:p w:rsidR="00000000" w:rsidRPr="00FE47E3" w:rsidP="00FE47E3">
      <w:pPr>
        <w:pStyle w:val="ListBullet"/>
      </w:pPr>
      <w:r w:rsidRPr="00FE47E3">
        <w:t>review processes for examination of test findings</w:t>
      </w:r>
    </w:p>
    <w:p w:rsidR="00000000" w:rsidRPr="00FE47E3" w:rsidP="00FE47E3">
      <w:pPr>
        <w:pStyle w:val="ListBullet"/>
      </w:pPr>
      <w:r w:rsidRPr="00FE47E3">
        <w:t>common complex testing techniques and methods:</w:t>
      </w:r>
    </w:p>
    <w:p w:rsidR="00000000" w:rsidRPr="00FE47E3" w:rsidP="00FE47E3">
      <w:pPr>
        <w:pStyle w:val="ListBullet2"/>
      </w:pPr>
      <w:r w:rsidRPr="00FE47E3">
        <w:t xml:space="preserve">infrared and ultraviolet/visible (UV/Vis) spectrometric techniques, such as </w:t>
      </w:r>
      <w:r w:rsidRPr="00FE47E3">
        <w:t>inductively coupled plasma optical emission spectroscopy (ICP-OES), inductively coupled plasma mass spectroscopy (ICP-MS), X-ray fluorescence (XRF) and neutron activation analysis (NAA)</w:t>
      </w:r>
    </w:p>
    <w:p w:rsidR="00000000" w:rsidRPr="00FE47E3" w:rsidP="00FE47E3">
      <w:pPr>
        <w:pStyle w:val="ListBullet2"/>
      </w:pPr>
      <w:r w:rsidRPr="00FE47E3">
        <w:t>chromatographic techniques, such as gas chromatography mass spectrosco</w:t>
      </w:r>
      <w:r w:rsidRPr="00FE47E3">
        <w:t>py (GC-MS), ion chromatography (IC) and high-pressure liquid chromatography (HPLC)</w:t>
      </w:r>
    </w:p>
    <w:p w:rsidR="00000000" w:rsidRPr="00FE47E3" w:rsidP="00FE47E3">
      <w:pPr>
        <w:pStyle w:val="ListBullet"/>
      </w:pPr>
      <w:r w:rsidRPr="00FE47E3">
        <w:t>principles and purpose of test methods implemented (why they are used and what they demonstrate)</w:t>
      </w:r>
    </w:p>
    <w:p w:rsidR="00000000" w:rsidRPr="00FE47E3" w:rsidP="00FE47E3">
      <w:pPr>
        <w:pStyle w:val="ListBullet"/>
      </w:pPr>
      <w:r w:rsidRPr="00FE47E3">
        <w:t xml:space="preserve">technological advances that include automation </w:t>
      </w:r>
    </w:p>
    <w:p w:rsidR="00000000" w:rsidRPr="00FE47E3" w:rsidP="00FE47E3">
      <w:pPr>
        <w:pStyle w:val="ListBullet"/>
      </w:pPr>
      <w:r w:rsidRPr="00FE47E3">
        <w:t xml:space="preserve">awareness of environmental </w:t>
      </w:r>
      <w:r w:rsidRPr="00FE47E3">
        <w:t>sustainability issues as they relate to the work task</w:t>
      </w:r>
    </w:p>
    <w:p w:rsidR="00000000" w:rsidRPr="00FE47E3" w:rsidP="00FE47E3">
      <w:pPr>
        <w:pStyle w:val="ListBullet"/>
      </w:pPr>
      <w:r w:rsidRPr="00FE47E3">
        <w:t>legal, ethical and work health and safety (WHS) requirements specific to the work task including traceability, confidentiality and security requirements of all client information, and laboratory data and records.</w:t>
      </w:r>
    </w:p>
    <w:p w:rsidR="00000000" w:rsidRPr="00FE47E3" w:rsidP="00FE47E3">
      <w:pPr>
        <w:pStyle w:val="AllowPageBreak"/>
      </w:pPr>
    </w:p>
    <w:p w:rsidR="00000000" w:rsidRPr="00FE47E3" w:rsidP="00FE47E3">
      <w:pPr>
        <w:pStyle w:val="Heading1"/>
      </w:pPr>
      <w:bookmarkStart w:id="4" w:name="O_985511"/>
      <w:bookmarkEnd w:id="4"/>
      <w:r w:rsidRPr="00FE47E3">
        <w:t>Assessment Conditions</w:t>
      </w:r>
    </w:p>
    <w:p w:rsidR="00000000" w:rsidRPr="00FE47E3" w:rsidP="00E97353">
      <w:pPr>
        <w:pStyle w:val="BodyText"/>
      </w:pPr>
      <w:r w:rsidRPr="00FE47E3">
        <w:t>Skil</w:t>
      </w:r>
      <w:r w:rsidRPr="00FE47E3">
        <w:t xml:space="preserve">ls must have been demonstrated in the workplace or in a simulated environment that reflects workplace conditions and contingencies. The following conditions must be met for this unit: </w:t>
      </w:r>
    </w:p>
    <w:p w:rsidR="00000000" w:rsidRPr="00FE47E3" w:rsidP="00FE47E3">
      <w:pPr>
        <w:pStyle w:val="ListBullet"/>
      </w:pPr>
      <w:r w:rsidRPr="00FE47E3">
        <w:t xml:space="preserve">use of suitable facilities, equipment and resources, including: </w:t>
      </w:r>
    </w:p>
    <w:p w:rsidR="00000000" w:rsidRPr="00FE47E3" w:rsidP="00FE47E3">
      <w:pPr>
        <w:pStyle w:val="ListBullet2"/>
      </w:pPr>
      <w:r w:rsidRPr="00FE47E3">
        <w:t>a st</w:t>
      </w:r>
      <w:r w:rsidRPr="00FE47E3">
        <w:t>andard laboratory with specialised analytical instruments, laboratory reagents and equipment, standard operating procedures (SOPs) and test methods.</w:t>
      </w:r>
    </w:p>
    <w:p w:rsidR="00000000" w:rsidRPr="00FE47E3" w:rsidP="00E97353">
      <w:pPr>
        <w:pStyle w:val="BodyText"/>
      </w:pPr>
      <w:r w:rsidRPr="00FE47E3">
        <w:br/>
        <w:t>Assessors must satisfy the NVR/AQTF mandatory competency requirements for assessors.</w:t>
      </w:r>
    </w:p>
    <w:p w:rsidR="00000000" w:rsidRPr="00FE47E3" w:rsidP="00FE47E3">
      <w:pPr>
        <w:pStyle w:val="AllowPageBreak"/>
      </w:pPr>
    </w:p>
    <w:p w:rsidR="00000000" w:rsidRPr="00FE47E3" w:rsidP="00FE47E3">
      <w:pPr>
        <w:pStyle w:val="Heading1"/>
      </w:pPr>
      <w:bookmarkStart w:id="5" w:name="O_985509"/>
      <w:bookmarkEnd w:id="5"/>
      <w:r w:rsidRPr="00FE47E3">
        <w:t>Link</w:t>
      </w:r>
      <w:r w:rsidRPr="00FE47E3">
        <w:t>s</w:t>
      </w:r>
    </w:p>
    <w:p w:rsidR="00000000" w:rsidRPr="00FE47E3" w:rsidP="00E97353">
      <w:pPr>
        <w:pStyle w:val="BodyText"/>
      </w:pPr>
      <w:r w:rsidRPr="00FE47E3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94D2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E47E3" w:rsidP="00FE47E3"/>
    <w:sectPr w:rsidSect="00FE47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7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7E3" w:rsidRPr="00E97353" w:rsidP="00E973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7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53" w:rsidP="00FE47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7353" w:rsidP="00FE47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7353" w:rsidP="00FE47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7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7E3" w:rsidRPr="00E97353" w:rsidP="00E973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7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53" w:rsidRPr="002D2AF8" w:rsidP="00FE47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MSL975053 Perform complex laboratory testing of forensic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2020</w:t>
    </w:r>
    <w:r>
      <w:fldChar w:fldCharType="end"/>
    </w:r>
  </w:p>
  <w:p w:rsidR="00E97353" w:rsidP="00FE47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786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C61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6AE1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7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7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7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7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7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7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7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7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7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7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7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7E3"/>
  </w:style>
  <w:style w:type="character" w:customStyle="1" w:styleId="Heading1Char">
    <w:name w:val="Heading 1 Char"/>
    <w:basedOn w:val="DefaultParagraphFont"/>
    <w:link w:val="Heading1"/>
    <w:rsid w:val="00FE47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7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7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7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7E3"/>
    <w:rPr>
      <w:b/>
      <w:spacing w:val="0"/>
    </w:rPr>
  </w:style>
  <w:style w:type="paragraph" w:styleId="ListBullet2">
    <w:name w:val="List Bullet 2"/>
    <w:basedOn w:val="List2"/>
    <w:rsid w:val="00FE47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47E3"/>
    <w:rPr>
      <w:i/>
    </w:rPr>
  </w:style>
  <w:style w:type="paragraph" w:customStyle="1" w:styleId="SuperHeading">
    <w:name w:val="SuperHeading"/>
    <w:basedOn w:val="Normal"/>
    <w:rsid w:val="00FE47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7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7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7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7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7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7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7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7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7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7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7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7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7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7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7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7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7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7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7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7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47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7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7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7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7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7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7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7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7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47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7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7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7E3"/>
  </w:style>
  <w:style w:type="paragraph" w:styleId="TableofFigures">
    <w:name w:val="table of figures"/>
    <w:basedOn w:val="Normal"/>
    <w:next w:val="Normal"/>
    <w:semiHidden/>
    <w:rsid w:val="00FE47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7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47E3"/>
    <w:rPr>
      <w:rFonts w:ascii="Wingdings" w:hAnsi="Wingdings"/>
    </w:rPr>
  </w:style>
  <w:style w:type="paragraph" w:customStyle="1" w:styleId="TableHeading">
    <w:name w:val="Table Heading"/>
    <w:basedOn w:val="HeadingBase"/>
    <w:rsid w:val="00FE47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7E3"/>
    <w:rPr>
      <w:color w:val="0033CC"/>
      <w:u w:val="none"/>
    </w:rPr>
  </w:style>
  <w:style w:type="paragraph" w:customStyle="1" w:styleId="BodyTextRight">
    <w:name w:val="Body Text Right"/>
    <w:basedOn w:val="BodyText"/>
    <w:rsid w:val="00FE47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7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7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7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7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7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7E3"/>
    <w:rPr>
      <w:sz w:val="32"/>
    </w:rPr>
  </w:style>
  <w:style w:type="paragraph" w:customStyle="1" w:styleId="HeadingProcedure">
    <w:name w:val="Heading Procedure"/>
    <w:basedOn w:val="HeadingBase"/>
    <w:next w:val="Normal"/>
    <w:rsid w:val="00FE47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7E3"/>
    <w:pPr>
      <w:spacing w:before="60" w:after="60"/>
    </w:pPr>
  </w:style>
  <w:style w:type="paragraph" w:styleId="ListContinue">
    <w:name w:val="List Continue"/>
    <w:basedOn w:val="List"/>
    <w:rsid w:val="00FE47E3"/>
    <w:pPr>
      <w:ind w:firstLine="0"/>
    </w:pPr>
  </w:style>
  <w:style w:type="paragraph" w:customStyle="1" w:styleId="ListNote">
    <w:name w:val="List Note"/>
    <w:basedOn w:val="List"/>
    <w:rsid w:val="00FE47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7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7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7E3"/>
    <w:rPr>
      <w:rFonts w:ascii="Courier New" w:hAnsi="Courier New"/>
    </w:rPr>
  </w:style>
  <w:style w:type="paragraph" w:customStyle="1" w:styleId="NoteBullet">
    <w:name w:val="Note Bullet"/>
    <w:basedOn w:val="Note"/>
    <w:rsid w:val="00FE47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7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7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7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7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47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7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7E3"/>
    <w:rPr>
      <w:b/>
      <w:smallCaps/>
    </w:rPr>
  </w:style>
  <w:style w:type="paragraph" w:customStyle="1" w:styleId="TableListNumber">
    <w:name w:val="Table List Number"/>
    <w:basedOn w:val="ListNumber"/>
    <w:rsid w:val="00FE47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7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7E3"/>
    <w:pPr>
      <w:numPr>
        <w:numId w:val="9"/>
      </w:numPr>
    </w:pPr>
  </w:style>
  <w:style w:type="paragraph" w:customStyle="1" w:styleId="ListAlpha2">
    <w:name w:val="List Alpha 2"/>
    <w:basedOn w:val="List2"/>
    <w:rsid w:val="00FE47E3"/>
    <w:pPr>
      <w:numPr>
        <w:numId w:val="8"/>
      </w:numPr>
    </w:pPr>
  </w:style>
  <w:style w:type="paragraph" w:styleId="List2">
    <w:name w:val="List 2"/>
    <w:basedOn w:val="BodyText"/>
    <w:rsid w:val="00FE47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7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7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7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7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7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47E3"/>
    <w:pPr>
      <w:numPr>
        <w:numId w:val="4"/>
      </w:numPr>
    </w:pPr>
  </w:style>
  <w:style w:type="paragraph" w:styleId="ListContinue2">
    <w:name w:val="List Continue 2"/>
    <w:basedOn w:val="List2"/>
    <w:rsid w:val="00FE47E3"/>
    <w:pPr>
      <w:ind w:firstLine="0"/>
    </w:pPr>
  </w:style>
  <w:style w:type="paragraph" w:styleId="ListContinue3">
    <w:name w:val="List Continue 3"/>
    <w:basedOn w:val="List3"/>
    <w:rsid w:val="00FE47E3"/>
    <w:pPr>
      <w:ind w:left="1021" w:firstLine="0"/>
    </w:pPr>
  </w:style>
  <w:style w:type="paragraph" w:styleId="ListContinue4">
    <w:name w:val="List Continue 4"/>
    <w:basedOn w:val="List4"/>
    <w:rsid w:val="00FE47E3"/>
    <w:pPr>
      <w:ind w:firstLine="0"/>
    </w:pPr>
  </w:style>
  <w:style w:type="paragraph" w:styleId="ListContinue5">
    <w:name w:val="List Continue 5"/>
    <w:basedOn w:val="List5"/>
    <w:rsid w:val="00FE47E3"/>
    <w:pPr>
      <w:ind w:firstLine="0"/>
    </w:pPr>
  </w:style>
  <w:style w:type="paragraph" w:styleId="ListNumber3">
    <w:name w:val="List Number 3"/>
    <w:basedOn w:val="List3"/>
    <w:rsid w:val="00FE47E3"/>
    <w:pPr>
      <w:numPr>
        <w:numId w:val="5"/>
      </w:numPr>
    </w:pPr>
  </w:style>
  <w:style w:type="paragraph" w:styleId="ListNumber4">
    <w:name w:val="List Number 4"/>
    <w:basedOn w:val="List4"/>
    <w:rsid w:val="00FE47E3"/>
    <w:pPr>
      <w:numPr>
        <w:numId w:val="6"/>
      </w:numPr>
    </w:pPr>
  </w:style>
  <w:style w:type="paragraph" w:styleId="ListNumber5">
    <w:name w:val="List Number 5"/>
    <w:basedOn w:val="List5"/>
    <w:rsid w:val="00FE47E3"/>
    <w:pPr>
      <w:numPr>
        <w:numId w:val="7"/>
      </w:numPr>
    </w:pPr>
  </w:style>
  <w:style w:type="paragraph" w:styleId="BlockText">
    <w:name w:val="Block Text"/>
    <w:basedOn w:val="Normal"/>
    <w:rsid w:val="00FE47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7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7E3"/>
    <w:rPr>
      <w:sz w:val="16"/>
      <w:vertAlign w:val="superscript"/>
    </w:rPr>
  </w:style>
  <w:style w:type="character" w:customStyle="1" w:styleId="Symbols">
    <w:name w:val="Symbols"/>
    <w:basedOn w:val="DefaultParagraphFont"/>
    <w:rsid w:val="00FE47E3"/>
    <w:rPr>
      <w:rFonts w:ascii="Symbol" w:hAnsi="Symbol"/>
    </w:rPr>
  </w:style>
  <w:style w:type="character" w:customStyle="1" w:styleId="MenuOptions">
    <w:name w:val="Menu Options"/>
    <w:basedOn w:val="DefaultParagraphFont"/>
    <w:rsid w:val="00FE47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7E3"/>
    <w:rPr>
      <w:b/>
    </w:rPr>
  </w:style>
  <w:style w:type="character" w:customStyle="1" w:styleId="Underlined">
    <w:name w:val="Underlined"/>
    <w:basedOn w:val="DefaultParagraphFont"/>
    <w:rsid w:val="00FE47E3"/>
    <w:rPr>
      <w:u w:val="single"/>
    </w:rPr>
  </w:style>
  <w:style w:type="paragraph" w:customStyle="1" w:styleId="TableBodyTextRight">
    <w:name w:val="Table Body Text Right"/>
    <w:basedOn w:val="TableBodyText"/>
    <w:rsid w:val="00FE47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7E3"/>
    <w:rPr>
      <w:sz w:val="18"/>
    </w:rPr>
  </w:style>
  <w:style w:type="paragraph" w:customStyle="1" w:styleId="BodySmallRight">
    <w:name w:val="Body Small Right"/>
    <w:basedOn w:val="BodyTextRight"/>
    <w:rsid w:val="00FE47E3"/>
    <w:rPr>
      <w:sz w:val="18"/>
      <w:szCs w:val="18"/>
    </w:rPr>
  </w:style>
  <w:style w:type="paragraph" w:customStyle="1" w:styleId="MarginEdition">
    <w:name w:val="Margin Edition"/>
    <w:basedOn w:val="MarginNote"/>
    <w:rsid w:val="00FE47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7E3"/>
    <w:rPr>
      <w:sz w:val="2"/>
      <w:szCs w:val="2"/>
    </w:rPr>
  </w:style>
  <w:style w:type="character" w:customStyle="1" w:styleId="Small">
    <w:name w:val="Small"/>
    <w:basedOn w:val="DefaultParagraphFont"/>
    <w:rsid w:val="00FE47E3"/>
    <w:rPr>
      <w:sz w:val="16"/>
    </w:rPr>
  </w:style>
  <w:style w:type="paragraph" w:customStyle="1" w:styleId="WideTable">
    <w:name w:val="Wide Table"/>
    <w:basedOn w:val="Normal"/>
    <w:rsid w:val="00FE47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7E3"/>
  </w:style>
  <w:style w:type="paragraph" w:styleId="Quote">
    <w:name w:val="Quote"/>
    <w:basedOn w:val="Heading1"/>
    <w:link w:val="QuoteChar"/>
    <w:qFormat/>
    <w:rsid w:val="00FE47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7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7E3"/>
    <w:pPr>
      <w:pageBreakBefore/>
    </w:pPr>
  </w:style>
  <w:style w:type="paragraph" w:customStyle="1" w:styleId="Border">
    <w:name w:val="Border"/>
    <w:basedOn w:val="Normal"/>
    <w:qFormat/>
    <w:rsid w:val="00FE47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7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7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7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7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7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7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7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7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7E3"/>
    <w:rPr>
      <w:u w:val="single"/>
    </w:rPr>
  </w:style>
  <w:style w:type="character" w:customStyle="1" w:styleId="BoldandItalics">
    <w:name w:val="Bold and Italics"/>
    <w:qFormat/>
    <w:rsid w:val="00FE47E3"/>
    <w:rPr>
      <w:b/>
      <w:i/>
      <w:u w:val="none"/>
    </w:rPr>
  </w:style>
  <w:style w:type="paragraph" w:styleId="BalloonText">
    <w:name w:val="Balloon Text"/>
    <w:basedOn w:val="Normal"/>
    <w:link w:val="BalloonTextChar"/>
    <w:rsid w:val="00FE47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7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7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7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7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7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7E3"/>
    <w:pPr>
      <w:spacing w:before="0" w:after="0"/>
    </w:pPr>
  </w:style>
  <w:style w:type="paragraph" w:customStyle="1" w:styleId="BodyTextBold">
    <w:name w:val="Body Text Bold"/>
    <w:basedOn w:val="BodyText"/>
    <w:qFormat/>
    <w:rsid w:val="00FE47E3"/>
    <w:rPr>
      <w:b/>
    </w:rPr>
  </w:style>
  <w:style w:type="character" w:styleId="Hyperlink">
    <w:name w:val="Hyperlink"/>
    <w:basedOn w:val="DefaultParagraphFont"/>
    <w:uiPriority w:val="99"/>
    <w:unhideWhenUsed/>
    <w:rsid w:val="00E973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2775</Characters>
  <Application>Microsoft Office Word</Application>
  <DocSecurity>0</DocSecurity>
  <Lines>67</Lines>
  <Paragraphs>39</Paragraphs>
  <ScaleCrop>false</ScaleCrop>
  <Company>Author-it Software Corporation Ltd.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MSL975053 Perform complex laboratory testing of forensic samples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2020-04-28T07:14:00Z</dcterms:created>
  <dcterms:modified xsi:type="dcterms:W3CDTF">2020-04-28T07:14:00Z</dcterms:modified>
</cp:coreProperties>
</file>