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BB3" w:rsidP="00D07B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MSL975050 Perform food analyses</w:t>
      </w:r>
      <w:r>
        <w:fldChar w:fldCharType="end"/>
      </w:r>
    </w:p>
    <w:p w:rsidR="00D07BB3" w:rsidP="00D07BB3">
      <w:pPr>
        <w:pStyle w:val="Version"/>
        <w:sectPr w:rsidSect="008D6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6EC" w:rsidP="008D66EC">
      <w:pPr>
        <w:pStyle w:val="SuperHeading"/>
      </w:pPr>
      <w:r w:rsidRPr="008D66EC">
        <w:t>MSL975050 Perform food analyses</w:t>
      </w:r>
    </w:p>
    <w:p w:rsidR="00000000" w:rsidRPr="008D66EC" w:rsidP="008D66EC">
      <w:pPr>
        <w:pStyle w:val="Heading1"/>
      </w:pPr>
      <w:bookmarkStart w:id="1" w:name="O_985565"/>
      <w:bookmarkEnd w:id="1"/>
      <w:r w:rsidRPr="008D66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66EC" w:rsidP="008D66EC">
            <w:pPr>
              <w:pStyle w:val="BodyText"/>
            </w:pPr>
            <w:r w:rsidRPr="008D66EC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rPr>
                <w:rStyle w:val="SpecialBold"/>
              </w:rPr>
              <w:t>Comments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6EC" w:rsidP="008D66EC">
            <w:pPr>
              <w:pStyle w:val="BodyText"/>
            </w:pPr>
            <w:r w:rsidRPr="008D66EC">
              <w:t xml:space="preserve">This version was released in </w:t>
            </w:r>
            <w:r w:rsidRPr="008D66EC">
              <w:rPr>
                <w:rStyle w:val="Emphasis"/>
              </w:rPr>
              <w:t>MSL Laboratory Operations Training Package Release 2.0.</w:t>
            </w:r>
          </w:p>
          <w:p w:rsidR="00000000" w:rsidRPr="008D66EC" w:rsidP="008D66EC">
            <w:pPr>
              <w:pStyle w:val="BodyText"/>
            </w:pPr>
            <w:r w:rsidRPr="008D66EC">
              <w:t>Supersedes and equivalent to MSL975022 Perform food analyses. Changes to performance criteria. Foundation skills informati</w:t>
            </w:r>
            <w:r w:rsidRPr="008D66EC">
              <w:t>on added. Range of conditions removed. Equivalent outcome.</w:t>
            </w:r>
          </w:p>
        </w:tc>
      </w:tr>
    </w:tbl>
    <w:p w:rsidR="00000000" w:rsidRPr="008D66EC" w:rsidP="008D66EC">
      <w:pPr>
        <w:pStyle w:val="BodyText"/>
      </w:pPr>
    </w:p>
    <w:p w:rsidR="00000000" w:rsidRPr="008D66EC" w:rsidP="008D66EC">
      <w:pPr>
        <w:pStyle w:val="AllowPageBreak"/>
      </w:pPr>
    </w:p>
    <w:p w:rsidR="00000000" w:rsidRPr="008D66EC" w:rsidP="008D66EC">
      <w:pPr>
        <w:pStyle w:val="Heading1"/>
      </w:pPr>
      <w:bookmarkStart w:id="2" w:name="O_985571"/>
      <w:bookmarkEnd w:id="2"/>
      <w:r w:rsidRPr="008D66EC">
        <w:t>Application</w:t>
      </w:r>
    </w:p>
    <w:p w:rsidR="00000000" w:rsidRPr="008D66EC" w:rsidP="00D07BB3">
      <w:pPr>
        <w:pStyle w:val="BodyText"/>
      </w:pPr>
      <w:r w:rsidRPr="008D66EC">
        <w:t>This unit of competency describes the skills and knowledge to analyse the nutrient and ingredient composition of foods and the identification and quantification of bo</w:t>
      </w:r>
      <w:r w:rsidRPr="008D66EC">
        <w:t xml:space="preserve">th chemical and biological contaminants within raw and processed foods. These tests may involve complex sample preparation followed by multi-staged and/or multi-instrumental analysis, immunoassay and computer-based nutrient analysis. </w:t>
      </w:r>
    </w:p>
    <w:p w:rsidR="00000000" w:rsidRPr="008D66EC" w:rsidP="00D07BB3">
      <w:pPr>
        <w:pStyle w:val="BodyText"/>
      </w:pPr>
      <w:r w:rsidRPr="008D66EC">
        <w:t>This unit applies to</w:t>
      </w:r>
      <w:r w:rsidRPr="008D66EC">
        <w:t xml:space="preserve"> laboratory technical officers and analysts working in the food and beverage processing industry sectors. All operations and analytical methods must comply with relevant standards, appropriate procedures and/or workplace requirements. The unit covers tests</w:t>
      </w:r>
      <w:r w:rsidRPr="008D66EC">
        <w:t xml:space="preserve"> and procedures that are performed in a full or partially computerised and automated laboratory environment. Although a supervisor may not always be present, the technical worker will follow standard operating procedures (SOPs) that clearly describe the sc</w:t>
      </w:r>
      <w:r w:rsidRPr="008D66EC">
        <w:t xml:space="preserve">ope of permitted practice, including varying workplace/test procedures and communicating results to people outside the laboratory. </w:t>
      </w:r>
    </w:p>
    <w:p w:rsidR="00000000" w:rsidRPr="008D66EC" w:rsidP="00D07BB3">
      <w:pPr>
        <w:pStyle w:val="BodyText"/>
      </w:pPr>
      <w:r w:rsidRPr="008D66EC">
        <w:t>No licensing or certification requirements exist at the time of publication. However, regulations and/or external accredita</w:t>
      </w:r>
      <w:r w:rsidRPr="008D66EC">
        <w:t>tion requirements for laboratory operations exist, so local requirements should be checked. Relevant legislation, industry standards and codes of practice within Australia must also be applied.</w:t>
      </w:r>
    </w:p>
    <w:p w:rsidR="00000000" w:rsidRPr="008D66EC" w:rsidP="008D66EC">
      <w:pPr>
        <w:pStyle w:val="Heading1"/>
      </w:pPr>
      <w:bookmarkStart w:id="3" w:name="O_985570"/>
      <w:bookmarkEnd w:id="3"/>
      <w:r w:rsidRPr="008D66EC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07B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MSL974020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6EC" w:rsidP="008D66EC">
            <w:pPr>
              <w:pStyle w:val="BodyText"/>
            </w:pPr>
            <w:r w:rsidRPr="008D66EC">
              <w:t>Perform food tests</w:t>
            </w:r>
          </w:p>
        </w:tc>
      </w:tr>
    </w:tbl>
    <w:p w:rsidR="00000000" w:rsidRPr="008D66EC" w:rsidP="008D66EC">
      <w:pPr>
        <w:pStyle w:val="BodyText"/>
      </w:pPr>
    </w:p>
    <w:p w:rsidR="00000000" w:rsidRPr="008D66EC" w:rsidP="008D66EC">
      <w:pPr>
        <w:pStyle w:val="AllowPageBreak"/>
      </w:pPr>
    </w:p>
    <w:p w:rsidR="00000000" w:rsidRPr="008D66EC" w:rsidP="008D66EC">
      <w:pPr>
        <w:pStyle w:val="Heading1"/>
      </w:pPr>
      <w:bookmarkStart w:id="4" w:name="O_985569"/>
      <w:bookmarkEnd w:id="4"/>
      <w:r w:rsidRPr="008D66EC">
        <w:t>Competency Field</w:t>
      </w:r>
    </w:p>
    <w:p w:rsidR="00000000" w:rsidRPr="008D66EC" w:rsidP="00D07BB3">
      <w:pPr>
        <w:pStyle w:val="BodyText"/>
      </w:pPr>
      <w:r w:rsidRPr="008D66EC">
        <w:t>Testing</w:t>
      </w:r>
    </w:p>
    <w:p w:rsidR="00000000" w:rsidRPr="008D66EC" w:rsidP="008D66EC">
      <w:pPr>
        <w:pStyle w:val="Heading1"/>
      </w:pPr>
      <w:bookmarkStart w:id="5" w:name="O_985568"/>
      <w:bookmarkEnd w:id="5"/>
      <w:r w:rsidRPr="008D66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Performance criteria describe the performance needed to demonstrate achievement of the element.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6EC" w:rsidP="008D66EC">
            <w:pPr>
              <w:pStyle w:val="BodyText"/>
            </w:pPr>
            <w:r w:rsidRPr="008D66E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Liaise with client or sample provider to determine client needs and sample history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Record sample description, compare with specification and record and report discrepancies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Identify non-routine samples and the possible need to vary workplace procedures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Confirm any proposed variations and document approved changes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 xml:space="preserve">Schedule analysis using workplace procedures 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6EC" w:rsidP="008D66EC">
            <w:pPr>
              <w:pStyle w:val="BodyText"/>
            </w:pPr>
            <w:r w:rsidRPr="008D66E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Obtain a representative analytical portion of the laboratory sample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Prepare sample in accordance with testing requirements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Prepare validation checks and/or calibration standards for analytical portion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Use specialised procedures for ultra-trace sample and standard preparation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6EC" w:rsidP="008D66EC">
            <w:pPr>
              <w:pStyle w:val="BodyText"/>
            </w:pPr>
            <w:r w:rsidRPr="008D66E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Perform pre-use and safety checks using workplace procedures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Start up and condition the instrument using workplace procedures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Optimise instrumental parameters to suit sample and test requirements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Check calibration status of instrument and perform calibration using specified standards and procedures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Clean, care for and store equipment and consumables in accordance with workplace procedures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6EC" w:rsidP="008D66EC">
            <w:pPr>
              <w:pStyle w:val="BodyText"/>
            </w:pPr>
            <w:r w:rsidRPr="008D66E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Measure analyte response for standards, validation checks and samples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Conduct sufficient measurements to obtain reliable data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 xml:space="preserve">Return instruments to standby or shutdown condition 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 xml:space="preserve">Store unused/prepared laboratory samples for future reference 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6EC" w:rsidP="008D66EC">
            <w:pPr>
              <w:pStyle w:val="BodyText"/>
            </w:pPr>
            <w:r w:rsidRPr="008D66E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Use controls and reference standards to confirm the integrity of biomolecular sample preparation and procedures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Troubleshoot basic procedure, reagent or equipment problems which have led to atypical data or results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6EC" w:rsidP="008D66EC">
            <w:pPr>
              <w:pStyle w:val="BodyText"/>
            </w:pPr>
            <w:r w:rsidRPr="008D66EC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Make entries on report forms or into a laboratory information management system accurately calculating, recording or transcribing data as required</w:t>
            </w:r>
          </w:p>
        </w:tc>
      </w:tr>
      <w:tr w:rsidTr="008D6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EC">
            <w:pPr>
              <w:pStyle w:val="BodyText"/>
              <w:rPr>
                <w:lang w:val="en-NZ"/>
              </w:rPr>
            </w:pPr>
            <w:r w:rsidRPr="008D66EC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6EC" w:rsidP="008D66EC">
            <w:pPr>
              <w:pStyle w:val="BodyText"/>
            </w:pPr>
            <w:r w:rsidRPr="008D66EC">
              <w:t>Ensure traceability of sample from receipt to reporting of results</w:t>
            </w:r>
          </w:p>
        </w:tc>
      </w:tr>
    </w:tbl>
    <w:p w:rsidR="00000000" w:rsidRPr="008D66EC" w:rsidP="008D66EC">
      <w:pPr>
        <w:pStyle w:val="BodyText"/>
      </w:pPr>
    </w:p>
    <w:p w:rsidR="00000000" w:rsidRPr="008D66EC" w:rsidP="008D66EC">
      <w:pPr>
        <w:pStyle w:val="AllowPageBreak"/>
      </w:pPr>
    </w:p>
    <w:p w:rsidR="00000000" w:rsidRPr="008D66EC" w:rsidP="008D66EC">
      <w:pPr>
        <w:pStyle w:val="Heading1"/>
      </w:pPr>
      <w:bookmarkStart w:id="6" w:name="O_985567"/>
      <w:bookmarkEnd w:id="6"/>
      <w:r w:rsidRPr="008D66EC">
        <w:t>Foundation Skills</w:t>
      </w:r>
    </w:p>
    <w:p w:rsidR="00000000" w:rsidRPr="008D66EC" w:rsidP="00D07BB3">
      <w:pPr>
        <w:pStyle w:val="BodyText"/>
      </w:pPr>
      <w:r w:rsidRPr="008D66EC">
        <w:t>This section describes those language, literacy, numeracy and employment skills that are essential to performance.</w:t>
      </w:r>
    </w:p>
    <w:p w:rsidR="00000000" w:rsidRPr="008D66EC" w:rsidP="008D66EC">
      <w:pPr>
        <w:pStyle w:val="ListBullet"/>
      </w:pPr>
      <w:r w:rsidRPr="008D66EC">
        <w:t>Numeracy skills to:</w:t>
      </w:r>
    </w:p>
    <w:p w:rsidR="00000000" w:rsidRPr="008D66EC" w:rsidP="008D66EC">
      <w:pPr>
        <w:pStyle w:val="ListBullet2"/>
      </w:pPr>
      <w:r w:rsidRPr="008D66EC">
        <w:t>calculate potential sources of uncertainty</w:t>
      </w:r>
    </w:p>
    <w:p w:rsidR="00000000" w:rsidRPr="008D66EC" w:rsidP="008D66EC">
      <w:pPr>
        <w:pStyle w:val="ListBullet2"/>
      </w:pPr>
      <w:r w:rsidRPr="008D66EC">
        <w:t>calculate analyte concentrations using app</w:t>
      </w:r>
      <w:r w:rsidRPr="008D66EC">
        <w:t>ropriate equations, units, uncertainties and precision.</w:t>
      </w:r>
    </w:p>
    <w:p w:rsidR="00000000" w:rsidRPr="008D66EC" w:rsidP="00D07BB3">
      <w:pPr>
        <w:pStyle w:val="BodyText"/>
      </w:pPr>
      <w:r w:rsidRPr="008D66EC">
        <w:t>Other foundation skills essential to performance are explicit in the performance criteria of this unit.</w:t>
      </w:r>
    </w:p>
    <w:p w:rsidR="00000000" w:rsidRPr="008D66EC" w:rsidP="008D66EC">
      <w:pPr>
        <w:pStyle w:val="Heading1"/>
      </w:pPr>
      <w:bookmarkStart w:id="7" w:name="O_985566"/>
      <w:bookmarkEnd w:id="7"/>
      <w:r w:rsidRPr="008D66EC">
        <w:t>Unit Mapping Information</w:t>
      </w:r>
    </w:p>
    <w:p w:rsidR="00000000" w:rsidRPr="008D66EC" w:rsidP="00D07BB3">
      <w:pPr>
        <w:pStyle w:val="BodyText"/>
      </w:pPr>
      <w:r w:rsidRPr="008D66EC">
        <w:t>Equivalent to MSL975022 Perform food analyses, Release 1.</w:t>
      </w:r>
    </w:p>
    <w:p w:rsidR="00000000" w:rsidRPr="008D66EC" w:rsidP="008D66EC">
      <w:pPr>
        <w:pStyle w:val="Heading1"/>
      </w:pPr>
      <w:bookmarkStart w:id="8" w:name="O_985559"/>
      <w:bookmarkEnd w:id="8"/>
      <w:r w:rsidRPr="008D66EC">
        <w:t>Links</w:t>
      </w:r>
    </w:p>
    <w:p w:rsidR="00000000" w:rsidRPr="008D66EC" w:rsidP="00D07BB3">
      <w:pPr>
        <w:pStyle w:val="BodyText"/>
      </w:pPr>
      <w:r w:rsidRPr="008D66EC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84FC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D66EC" w:rsidP="008D66EC"/>
    <w:sectPr w:rsidSect="008D66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B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B3" w:rsidP="008D6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7BB3" w:rsidP="008D6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7BB3" w:rsidP="008D6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6EC" w:rsidRPr="00D07BB3" w:rsidP="00D07B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B3" w:rsidRPr="002D2AF8" w:rsidP="008D6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MSL975050 Perform food analyses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D07BB3" w:rsidP="008D6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24A6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AC2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9291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6EC"/>
  </w:style>
  <w:style w:type="character" w:customStyle="1" w:styleId="Heading1Char">
    <w:name w:val="Heading 1 Char"/>
    <w:basedOn w:val="DefaultParagraphFont"/>
    <w:link w:val="Heading1"/>
    <w:rsid w:val="008D6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6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6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6EC"/>
    <w:rPr>
      <w:b/>
      <w:spacing w:val="0"/>
    </w:rPr>
  </w:style>
  <w:style w:type="paragraph" w:styleId="ListBullet2">
    <w:name w:val="List Bullet 2"/>
    <w:basedOn w:val="List2"/>
    <w:rsid w:val="008D66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66EC"/>
    <w:rPr>
      <w:i/>
    </w:rPr>
  </w:style>
  <w:style w:type="paragraph" w:customStyle="1" w:styleId="SuperHeading">
    <w:name w:val="SuperHeading"/>
    <w:basedOn w:val="Normal"/>
    <w:rsid w:val="008D6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6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6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6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6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6EC"/>
  </w:style>
  <w:style w:type="paragraph" w:styleId="TableofFigures">
    <w:name w:val="table of figures"/>
    <w:basedOn w:val="Normal"/>
    <w:next w:val="Normal"/>
    <w:semiHidden/>
    <w:rsid w:val="008D6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6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66EC"/>
    <w:rPr>
      <w:rFonts w:ascii="Wingdings" w:hAnsi="Wingdings"/>
    </w:rPr>
  </w:style>
  <w:style w:type="paragraph" w:customStyle="1" w:styleId="TableHeading">
    <w:name w:val="Table Heading"/>
    <w:basedOn w:val="HeadingBase"/>
    <w:rsid w:val="008D6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6EC"/>
    <w:rPr>
      <w:color w:val="0033CC"/>
      <w:u w:val="none"/>
    </w:rPr>
  </w:style>
  <w:style w:type="paragraph" w:customStyle="1" w:styleId="BodyTextRight">
    <w:name w:val="Body Text Right"/>
    <w:basedOn w:val="BodyText"/>
    <w:rsid w:val="008D6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6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6EC"/>
    <w:rPr>
      <w:sz w:val="32"/>
    </w:rPr>
  </w:style>
  <w:style w:type="paragraph" w:customStyle="1" w:styleId="HeadingProcedure">
    <w:name w:val="Heading Procedure"/>
    <w:basedOn w:val="HeadingBase"/>
    <w:next w:val="Normal"/>
    <w:rsid w:val="008D6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6EC"/>
    <w:pPr>
      <w:spacing w:before="60" w:after="60"/>
    </w:pPr>
  </w:style>
  <w:style w:type="paragraph" w:styleId="ListContinue">
    <w:name w:val="List Continue"/>
    <w:basedOn w:val="List"/>
    <w:rsid w:val="008D66EC"/>
    <w:pPr>
      <w:ind w:firstLine="0"/>
    </w:pPr>
  </w:style>
  <w:style w:type="paragraph" w:customStyle="1" w:styleId="ListNote">
    <w:name w:val="List Note"/>
    <w:basedOn w:val="List"/>
    <w:rsid w:val="008D6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6EC"/>
    <w:rPr>
      <w:rFonts w:ascii="Courier New" w:hAnsi="Courier New"/>
    </w:rPr>
  </w:style>
  <w:style w:type="paragraph" w:customStyle="1" w:styleId="NoteBullet">
    <w:name w:val="Note Bullet"/>
    <w:basedOn w:val="Note"/>
    <w:rsid w:val="008D6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6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6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6EC"/>
    <w:rPr>
      <w:b/>
      <w:smallCaps/>
    </w:rPr>
  </w:style>
  <w:style w:type="paragraph" w:customStyle="1" w:styleId="TableListNumber">
    <w:name w:val="Table List Number"/>
    <w:basedOn w:val="ListNumber"/>
    <w:rsid w:val="008D6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6EC"/>
    <w:pPr>
      <w:numPr>
        <w:numId w:val="9"/>
      </w:numPr>
    </w:pPr>
  </w:style>
  <w:style w:type="paragraph" w:customStyle="1" w:styleId="ListAlpha2">
    <w:name w:val="List Alpha 2"/>
    <w:basedOn w:val="List2"/>
    <w:rsid w:val="008D66EC"/>
    <w:pPr>
      <w:numPr>
        <w:numId w:val="8"/>
      </w:numPr>
    </w:pPr>
  </w:style>
  <w:style w:type="paragraph" w:styleId="List2">
    <w:name w:val="List 2"/>
    <w:basedOn w:val="BodyText"/>
    <w:rsid w:val="008D6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6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6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6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66EC"/>
    <w:pPr>
      <w:numPr>
        <w:numId w:val="4"/>
      </w:numPr>
    </w:pPr>
  </w:style>
  <w:style w:type="paragraph" w:styleId="ListContinue2">
    <w:name w:val="List Continue 2"/>
    <w:basedOn w:val="List2"/>
    <w:rsid w:val="008D66EC"/>
    <w:pPr>
      <w:ind w:firstLine="0"/>
    </w:pPr>
  </w:style>
  <w:style w:type="paragraph" w:styleId="ListContinue3">
    <w:name w:val="List Continue 3"/>
    <w:basedOn w:val="List3"/>
    <w:rsid w:val="008D66EC"/>
    <w:pPr>
      <w:ind w:left="1021" w:firstLine="0"/>
    </w:pPr>
  </w:style>
  <w:style w:type="paragraph" w:styleId="ListContinue4">
    <w:name w:val="List Continue 4"/>
    <w:basedOn w:val="List4"/>
    <w:rsid w:val="008D66EC"/>
    <w:pPr>
      <w:ind w:firstLine="0"/>
    </w:pPr>
  </w:style>
  <w:style w:type="paragraph" w:styleId="ListContinue5">
    <w:name w:val="List Continue 5"/>
    <w:basedOn w:val="List5"/>
    <w:rsid w:val="008D66EC"/>
    <w:pPr>
      <w:ind w:firstLine="0"/>
    </w:pPr>
  </w:style>
  <w:style w:type="paragraph" w:styleId="ListNumber3">
    <w:name w:val="List Number 3"/>
    <w:basedOn w:val="List3"/>
    <w:rsid w:val="008D66EC"/>
    <w:pPr>
      <w:numPr>
        <w:numId w:val="5"/>
      </w:numPr>
    </w:pPr>
  </w:style>
  <w:style w:type="paragraph" w:styleId="ListNumber4">
    <w:name w:val="List Number 4"/>
    <w:basedOn w:val="List4"/>
    <w:rsid w:val="008D66EC"/>
    <w:pPr>
      <w:numPr>
        <w:numId w:val="6"/>
      </w:numPr>
    </w:pPr>
  </w:style>
  <w:style w:type="paragraph" w:styleId="ListNumber5">
    <w:name w:val="List Number 5"/>
    <w:basedOn w:val="List5"/>
    <w:rsid w:val="008D66EC"/>
    <w:pPr>
      <w:numPr>
        <w:numId w:val="7"/>
      </w:numPr>
    </w:pPr>
  </w:style>
  <w:style w:type="paragraph" w:styleId="BlockText">
    <w:name w:val="Block Text"/>
    <w:basedOn w:val="Normal"/>
    <w:rsid w:val="008D6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6EC"/>
    <w:rPr>
      <w:sz w:val="16"/>
      <w:vertAlign w:val="superscript"/>
    </w:rPr>
  </w:style>
  <w:style w:type="character" w:customStyle="1" w:styleId="Symbols">
    <w:name w:val="Symbols"/>
    <w:basedOn w:val="DefaultParagraphFont"/>
    <w:rsid w:val="008D66EC"/>
    <w:rPr>
      <w:rFonts w:ascii="Symbol" w:hAnsi="Symbol"/>
    </w:rPr>
  </w:style>
  <w:style w:type="character" w:customStyle="1" w:styleId="MenuOptions">
    <w:name w:val="Menu Options"/>
    <w:basedOn w:val="DefaultParagraphFont"/>
    <w:rsid w:val="008D6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6EC"/>
    <w:rPr>
      <w:b/>
    </w:rPr>
  </w:style>
  <w:style w:type="character" w:customStyle="1" w:styleId="Underlined">
    <w:name w:val="Underlined"/>
    <w:basedOn w:val="DefaultParagraphFont"/>
    <w:rsid w:val="008D66EC"/>
    <w:rPr>
      <w:u w:val="single"/>
    </w:rPr>
  </w:style>
  <w:style w:type="paragraph" w:customStyle="1" w:styleId="TableBodyTextRight">
    <w:name w:val="Table Body Text Right"/>
    <w:basedOn w:val="TableBodyText"/>
    <w:rsid w:val="008D6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6EC"/>
    <w:rPr>
      <w:sz w:val="18"/>
    </w:rPr>
  </w:style>
  <w:style w:type="paragraph" w:customStyle="1" w:styleId="BodySmallRight">
    <w:name w:val="Body Small Right"/>
    <w:basedOn w:val="BodyTextRight"/>
    <w:rsid w:val="008D66EC"/>
    <w:rPr>
      <w:sz w:val="18"/>
      <w:szCs w:val="18"/>
    </w:rPr>
  </w:style>
  <w:style w:type="paragraph" w:customStyle="1" w:styleId="MarginEdition">
    <w:name w:val="Margin Edition"/>
    <w:basedOn w:val="MarginNote"/>
    <w:rsid w:val="008D6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6EC"/>
    <w:rPr>
      <w:sz w:val="2"/>
      <w:szCs w:val="2"/>
    </w:rPr>
  </w:style>
  <w:style w:type="character" w:customStyle="1" w:styleId="Small">
    <w:name w:val="Small"/>
    <w:basedOn w:val="DefaultParagraphFont"/>
    <w:rsid w:val="008D66EC"/>
    <w:rPr>
      <w:sz w:val="16"/>
    </w:rPr>
  </w:style>
  <w:style w:type="paragraph" w:customStyle="1" w:styleId="WideTable">
    <w:name w:val="Wide Table"/>
    <w:basedOn w:val="Normal"/>
    <w:rsid w:val="008D6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6EC"/>
  </w:style>
  <w:style w:type="paragraph" w:styleId="Quote">
    <w:name w:val="Quote"/>
    <w:basedOn w:val="Heading1"/>
    <w:link w:val="QuoteChar"/>
    <w:qFormat/>
    <w:rsid w:val="008D6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6EC"/>
    <w:pPr>
      <w:pageBreakBefore/>
    </w:pPr>
  </w:style>
  <w:style w:type="paragraph" w:customStyle="1" w:styleId="Border">
    <w:name w:val="Border"/>
    <w:basedOn w:val="Normal"/>
    <w:qFormat/>
    <w:rsid w:val="008D6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6EC"/>
    <w:rPr>
      <w:u w:val="single"/>
    </w:rPr>
  </w:style>
  <w:style w:type="character" w:customStyle="1" w:styleId="BoldandItalics">
    <w:name w:val="Bold and Italics"/>
    <w:qFormat/>
    <w:rsid w:val="008D66EC"/>
    <w:rPr>
      <w:b/>
      <w:i/>
      <w:u w:val="none"/>
    </w:rPr>
  </w:style>
  <w:style w:type="paragraph" w:styleId="BalloonText">
    <w:name w:val="Balloon Text"/>
    <w:basedOn w:val="Normal"/>
    <w:link w:val="BalloonTextChar"/>
    <w:rsid w:val="008D6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6EC"/>
    <w:pPr>
      <w:spacing w:before="0" w:after="0"/>
    </w:pPr>
  </w:style>
  <w:style w:type="paragraph" w:customStyle="1" w:styleId="BodyTextBold">
    <w:name w:val="Body Text Bold"/>
    <w:basedOn w:val="BodyText"/>
    <w:qFormat/>
    <w:rsid w:val="008D66EC"/>
    <w:rPr>
      <w:b/>
    </w:rPr>
  </w:style>
  <w:style w:type="character" w:styleId="Hyperlink">
    <w:name w:val="Hyperlink"/>
    <w:basedOn w:val="DefaultParagraphFont"/>
    <w:uiPriority w:val="99"/>
    <w:unhideWhenUsed/>
    <w:rsid w:val="00D07B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4218</Characters>
  <Application>Microsoft Office Word</Application>
  <DocSecurity>0</DocSecurity>
  <Lines>200</Lines>
  <Paragraphs>103</Paragraphs>
  <ScaleCrop>false</ScaleCrop>
  <Company>Author-it Software Corporation Ltd.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MSL975050 Perform food analyses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2021-10-27T23:09:00Z</dcterms:created>
  <dcterms:modified xsi:type="dcterms:W3CDTF">2021-10-27T23:09:00Z</dcterms:modified>
</cp:coreProperties>
</file>