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343C" w:rsidP="00C434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MSL975047 Apply complex instrumental techniques</w:t>
      </w:r>
      <w:r>
        <w:fldChar w:fldCharType="end"/>
      </w:r>
    </w:p>
    <w:p w:rsidR="00C4343C" w:rsidP="00C4343C">
      <w:pPr>
        <w:pStyle w:val="Version"/>
        <w:sectPr w:rsidSect="00F30F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0F29" w:rsidP="00F30F29">
      <w:pPr>
        <w:pStyle w:val="SuperHeading"/>
      </w:pPr>
      <w:r w:rsidRPr="00F30F29">
        <w:t>MSL975047 Apply complex instrumental techniques</w:t>
      </w:r>
    </w:p>
    <w:p w:rsidR="00000000" w:rsidRPr="00F30F29" w:rsidP="00F30F29">
      <w:pPr>
        <w:pStyle w:val="Heading1"/>
      </w:pPr>
      <w:bookmarkStart w:id="1" w:name="O_985634"/>
      <w:bookmarkEnd w:id="1"/>
      <w:r w:rsidRPr="00F30F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F30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30F29" w:rsidP="00F30F29">
            <w:pPr>
              <w:pStyle w:val="BodyText"/>
            </w:pPr>
            <w:r w:rsidRPr="00F30F29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rPr>
                <w:rStyle w:val="SpecialBold"/>
              </w:rPr>
              <w:t>Comments</w:t>
            </w:r>
          </w:p>
        </w:tc>
      </w:tr>
      <w:tr w:rsidTr="00F30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F29" w:rsidP="00F30F29">
            <w:pPr>
              <w:pStyle w:val="BodyText"/>
            </w:pPr>
            <w:r w:rsidRPr="00F30F29">
              <w:t xml:space="preserve">This version was released in </w:t>
            </w:r>
            <w:r w:rsidRPr="00F30F29">
              <w:rPr>
                <w:rStyle w:val="Emphasis"/>
              </w:rPr>
              <w:t>MSL Laboratory Operations Training Package Release 2.0.</w:t>
            </w:r>
          </w:p>
          <w:p w:rsidR="00000000" w:rsidRPr="00F30F29" w:rsidP="00F30F29">
            <w:pPr>
              <w:pStyle w:val="BodyText"/>
            </w:pPr>
            <w:r w:rsidRPr="00F30F29">
              <w:t>Supersedes and equivalent to MSL975019 Apply complex instrumental techniques. Conditional/optional prerequisite re</w:t>
            </w:r>
            <w:r w:rsidRPr="00F30F29">
              <w:t>moved. Changes to elements and performance criteria. Range of conditions removed. Assessment requirements amended.</w:t>
            </w:r>
          </w:p>
        </w:tc>
      </w:tr>
    </w:tbl>
    <w:p w:rsidR="00000000" w:rsidRPr="00F30F29" w:rsidP="00F30F29">
      <w:pPr>
        <w:pStyle w:val="BodyText"/>
      </w:pPr>
    </w:p>
    <w:p w:rsidR="00000000" w:rsidRPr="00F30F29" w:rsidP="00F30F29">
      <w:pPr>
        <w:pStyle w:val="AllowPageBreak"/>
      </w:pPr>
    </w:p>
    <w:p w:rsidR="00000000" w:rsidRPr="00F30F29" w:rsidP="00F30F29">
      <w:pPr>
        <w:pStyle w:val="Heading1"/>
      </w:pPr>
      <w:bookmarkStart w:id="2" w:name="O_985640"/>
      <w:bookmarkEnd w:id="2"/>
      <w:r w:rsidRPr="00F30F29">
        <w:t>Application</w:t>
      </w:r>
    </w:p>
    <w:p w:rsidR="00000000" w:rsidRPr="00F30F29" w:rsidP="00C4343C">
      <w:pPr>
        <w:pStyle w:val="BodyText"/>
      </w:pPr>
      <w:r w:rsidRPr="00F30F29">
        <w:t>This unit of competency describes the skills and knowledge to analyse samples using specialised analytical ins</w:t>
      </w:r>
      <w:r w:rsidRPr="00F30F29">
        <w:t>truments that require highly developed technical skills to operate effectively. Competency includes the ability to establish client needs for routine and non-routine samples, optimising workplace procedures and instruments for specific samples, obtaining v</w:t>
      </w:r>
      <w:r w:rsidRPr="00F30F29">
        <w:t>alid and reliable data and reporting test results. Personnel are required to recognise atypical test data/results and troubleshoot common analytical procedure and equipment problems.</w:t>
      </w:r>
    </w:p>
    <w:p w:rsidR="00000000" w:rsidRPr="00F30F29" w:rsidP="00C4343C">
      <w:pPr>
        <w:pStyle w:val="BodyText"/>
      </w:pPr>
      <w:r w:rsidRPr="00F30F29">
        <w:t>This unit applies to technical officers working in all industry sectors,</w:t>
      </w:r>
      <w:r w:rsidRPr="00F30F29">
        <w:t xml:space="preserve"> government agencies and research laboratories. All operations and analytical methods must comply with relevant standards, appropriate procedures and/or workplace requirements. Although a supervisor may not always be present, the technical officer will fol</w:t>
      </w:r>
      <w:r w:rsidRPr="00F30F29">
        <w:t>low standard operating procedures (SOPs) that clearly describe the scope of permitted practice, including varying workplace/test procedures and communicating results to people outside the laboratory.</w:t>
      </w:r>
    </w:p>
    <w:p w:rsidR="00000000" w:rsidRPr="00F30F29" w:rsidP="00C4343C">
      <w:pPr>
        <w:pStyle w:val="BodyText"/>
      </w:pPr>
      <w:r w:rsidRPr="00F30F29">
        <w:t>No licensing or certification requirements exist at the</w:t>
      </w:r>
      <w:r w:rsidRPr="00F30F29">
        <w:t xml:space="preserve"> time of publication. However, regulations and/or external accreditation requirements for laboratory operations exist, so local requirements should be checked. Relevant legislation, industry standards and codes of practice within Australia must also be app</w:t>
      </w:r>
      <w:r w:rsidRPr="00F30F29">
        <w:t>lied.</w:t>
      </w:r>
    </w:p>
    <w:p w:rsidR="00000000" w:rsidRPr="00F30F29" w:rsidP="00F30F29">
      <w:pPr>
        <w:pStyle w:val="Heading1"/>
      </w:pPr>
      <w:bookmarkStart w:id="3" w:name="O_985639"/>
      <w:bookmarkEnd w:id="3"/>
      <w:r w:rsidRPr="00F30F2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38"/>
        <w:gridCol w:w="4832"/>
      </w:tblGrid>
      <w:tr w:rsidTr="00F30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MSL974019</w:t>
            </w:r>
          </w:p>
        </w:tc>
        <w:tc>
          <w:tcPr>
            <w:tcW w:w="4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F29" w:rsidP="00F30F29">
            <w:pPr>
              <w:pStyle w:val="BodyText"/>
            </w:pPr>
            <w:r w:rsidRPr="00F30F29">
              <w:t xml:space="preserve">Perform chemical tests and procedures </w:t>
            </w:r>
          </w:p>
        </w:tc>
      </w:tr>
    </w:tbl>
    <w:p w:rsidR="00000000" w:rsidRPr="00F30F29" w:rsidP="00F30F29">
      <w:pPr>
        <w:pStyle w:val="BodyText"/>
      </w:pPr>
    </w:p>
    <w:p w:rsidR="00000000" w:rsidRPr="00F30F29" w:rsidP="00F30F29">
      <w:pPr>
        <w:pStyle w:val="AllowPageBreak"/>
      </w:pPr>
    </w:p>
    <w:p w:rsidR="00000000" w:rsidRPr="00F30F29" w:rsidP="00F30F29">
      <w:pPr>
        <w:pStyle w:val="Heading1"/>
      </w:pPr>
      <w:bookmarkStart w:id="4" w:name="O_985638"/>
      <w:bookmarkEnd w:id="4"/>
      <w:r w:rsidRPr="00F30F29">
        <w:t>Competency Field</w:t>
      </w:r>
    </w:p>
    <w:p w:rsidR="00000000" w:rsidRPr="00F30F29" w:rsidP="00C4343C">
      <w:pPr>
        <w:pStyle w:val="BodyText"/>
      </w:pPr>
      <w:r w:rsidRPr="00F30F29">
        <w:t>Testing</w:t>
      </w:r>
    </w:p>
    <w:p w:rsidR="00000000" w:rsidRPr="00F30F29" w:rsidP="00F30F29">
      <w:pPr>
        <w:pStyle w:val="Heading1"/>
      </w:pPr>
      <w:bookmarkStart w:id="5" w:name="O_985637"/>
      <w:bookmarkEnd w:id="5"/>
      <w:r w:rsidRPr="00F30F2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F30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Performance criteria describe the performance needed to demonstrate achievement of the element.</w:t>
            </w:r>
          </w:p>
        </w:tc>
      </w:tr>
      <w:tr w:rsidTr="00F30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F29" w:rsidP="00F30F29">
            <w:pPr>
              <w:pStyle w:val="BodyText"/>
            </w:pPr>
            <w:r w:rsidRPr="00F30F2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rPr>
                <w:rStyle w:val="SpecialBold"/>
              </w:rPr>
              <w:t>Establish client needs and schedule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Liaise with client or sample provider to determine client needs and sample history</w:t>
            </w:r>
          </w:p>
        </w:tc>
      </w:tr>
      <w:tr w:rsidTr="00F30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Record sample description, compare with specification and record and report discrepancies</w:t>
            </w:r>
          </w:p>
        </w:tc>
      </w:tr>
      <w:tr w:rsidTr="00F30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Identify non-routine samples and the possible need to vary workplace procedures</w:t>
            </w:r>
          </w:p>
        </w:tc>
      </w:tr>
      <w:tr w:rsidTr="00F30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Seek advice from supervisor about any proposed variations and document all approved changes.</w:t>
            </w:r>
          </w:p>
        </w:tc>
      </w:tr>
      <w:tr w:rsidTr="00F30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Schedule analysis using workplace procedures</w:t>
            </w:r>
          </w:p>
        </w:tc>
      </w:tr>
      <w:tr w:rsidTr="00F30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</w:p>
        </w:tc>
      </w:tr>
      <w:tr w:rsidTr="00F30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F29" w:rsidP="00F30F29">
            <w:pPr>
              <w:pStyle w:val="BodyText"/>
            </w:pPr>
            <w:r w:rsidRPr="00F30F2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rPr>
                <w:rStyle w:val="SpecialBold"/>
              </w:rPr>
              <w:t>Prepare samples and standards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Obtain a representative analytical portion of the laboratory sample</w:t>
            </w:r>
          </w:p>
        </w:tc>
      </w:tr>
      <w:tr w:rsidTr="00F30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Prepare sample in accordance with testing requirements</w:t>
            </w:r>
          </w:p>
        </w:tc>
      </w:tr>
      <w:tr w:rsidTr="00F30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Prepare validation checks and/or calibration standards for analytical portions</w:t>
            </w:r>
          </w:p>
        </w:tc>
      </w:tr>
      <w:tr w:rsidTr="00F30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Use specialised procedures for ultra-trace samples and standard preparation as required</w:t>
            </w:r>
          </w:p>
        </w:tc>
      </w:tr>
      <w:tr w:rsidTr="00F30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</w:p>
        </w:tc>
      </w:tr>
      <w:tr w:rsidTr="00F30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F29" w:rsidP="00F30F29">
            <w:pPr>
              <w:pStyle w:val="BodyText"/>
            </w:pPr>
            <w:r w:rsidRPr="00F30F2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rPr>
                <w:rStyle w:val="SpecialBold"/>
              </w:rPr>
              <w:t>Set up and optimise instrument and sub-systems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Perform pre-use and safety checks using workplace procedures</w:t>
            </w:r>
          </w:p>
        </w:tc>
      </w:tr>
      <w:tr w:rsidTr="00F30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Assemble appropriate instrument sub-systems to construct the required analytical path</w:t>
            </w:r>
          </w:p>
        </w:tc>
      </w:tr>
      <w:tr w:rsidTr="00F30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 xml:space="preserve">Start up and condition the instrument using </w:t>
            </w:r>
            <w:r w:rsidRPr="00F30F29">
              <w:t>workplace procedures</w:t>
            </w:r>
          </w:p>
        </w:tc>
      </w:tr>
      <w:tr w:rsidTr="00F30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Check and optimise each instrument sub-system</w:t>
            </w:r>
          </w:p>
        </w:tc>
      </w:tr>
      <w:tr w:rsidTr="00F30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Optimise instrumental parameters to suit sample and test requirements</w:t>
            </w:r>
          </w:p>
        </w:tc>
      </w:tr>
      <w:tr w:rsidTr="00F30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Check calibration status of instrument and perform calibration using specified standards and procedures, as required</w:t>
            </w:r>
          </w:p>
        </w:tc>
      </w:tr>
      <w:tr w:rsidTr="00F30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Clean, care for and store equipment and consumables in accordance with workplace procedures</w:t>
            </w:r>
          </w:p>
        </w:tc>
      </w:tr>
      <w:tr w:rsidTr="00F30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</w:p>
        </w:tc>
      </w:tr>
      <w:tr w:rsidTr="00F30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F29" w:rsidP="00F30F29">
            <w:pPr>
              <w:pStyle w:val="BodyText"/>
            </w:pPr>
            <w:r w:rsidRPr="00F30F2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rPr>
                <w:rStyle w:val="SpecialBold"/>
              </w:rPr>
              <w:t>Perform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Measure analyte response for standards, validation checks and samples</w:t>
            </w:r>
          </w:p>
        </w:tc>
      </w:tr>
      <w:tr w:rsidTr="00F30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Conduct sufficient measurements to obtain reliable data</w:t>
            </w:r>
          </w:p>
        </w:tc>
      </w:tr>
      <w:tr w:rsidTr="00F30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Return instruments to standby or shutdown condition as required</w:t>
            </w:r>
          </w:p>
        </w:tc>
      </w:tr>
      <w:tr w:rsidTr="00F30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</w:p>
        </w:tc>
      </w:tr>
      <w:tr w:rsidTr="00F30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F29" w:rsidP="00F30F29">
            <w:pPr>
              <w:pStyle w:val="BodyText"/>
            </w:pPr>
            <w:r w:rsidRPr="00F30F29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rPr>
                <w:rStyle w:val="SpecialBold"/>
              </w:rPr>
              <w:t>Process and analyse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Confirm data is the result of valid measurements</w:t>
            </w:r>
          </w:p>
        </w:tc>
      </w:tr>
      <w:tr w:rsidTr="00F30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Perform required calculations and ensure results are consistent with standards or estimations and expectations</w:t>
            </w:r>
          </w:p>
        </w:tc>
      </w:tr>
      <w:tr w:rsidTr="00F30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Record results with the appropriate accuracy, precision, uncertainty and units</w:t>
            </w:r>
          </w:p>
        </w:tc>
      </w:tr>
      <w:tr w:rsidTr="00F30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Analyse trends in data and/or results and report out-of-specification or atypical results promptly to appropriate personnel</w:t>
            </w:r>
          </w:p>
        </w:tc>
      </w:tr>
      <w:tr w:rsidTr="00F30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Troubleshoot analytical procedure or equipment problems which have led to atypical data or results</w:t>
            </w:r>
          </w:p>
        </w:tc>
      </w:tr>
      <w:tr w:rsidTr="00F30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</w:p>
        </w:tc>
      </w:tr>
      <w:tr w:rsidTr="00F30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F29" w:rsidP="00F30F29">
            <w:pPr>
              <w:pStyle w:val="BodyText"/>
            </w:pPr>
            <w:r w:rsidRPr="00F30F29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rPr>
                <w:rStyle w:val="SpecialBold"/>
              </w:rPr>
              <w:t>Maintain laboratory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Record entries on report forms or into a laboratory information management system accurately calculating, recording or transcribing data as required</w:t>
            </w:r>
          </w:p>
        </w:tc>
      </w:tr>
      <w:tr w:rsidTr="00F30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F29">
            <w:pPr>
              <w:pStyle w:val="BodyText"/>
              <w:rPr>
                <w:lang w:val="en-NZ"/>
              </w:rPr>
            </w:pPr>
            <w:r w:rsidRPr="00F30F29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F29" w:rsidP="00F30F29">
            <w:pPr>
              <w:pStyle w:val="BodyText"/>
            </w:pPr>
            <w:r w:rsidRPr="00F30F29">
              <w:t>Ensure traceability of sample from receipt to reporting of results</w:t>
            </w:r>
          </w:p>
        </w:tc>
      </w:tr>
    </w:tbl>
    <w:p w:rsidR="00000000" w:rsidRPr="00F30F29" w:rsidP="00F30F29">
      <w:pPr>
        <w:pStyle w:val="BodyText"/>
      </w:pPr>
    </w:p>
    <w:p w:rsidR="00000000" w:rsidRPr="00F30F29" w:rsidP="00F30F29">
      <w:pPr>
        <w:pStyle w:val="AllowPageBreak"/>
      </w:pPr>
    </w:p>
    <w:p w:rsidR="00000000" w:rsidRPr="00F30F29" w:rsidP="00F30F29">
      <w:pPr>
        <w:pStyle w:val="Heading1"/>
      </w:pPr>
      <w:bookmarkStart w:id="6" w:name="O_985636"/>
      <w:bookmarkEnd w:id="6"/>
      <w:r w:rsidRPr="00F30F29">
        <w:t>Foundation Skills</w:t>
      </w:r>
    </w:p>
    <w:p w:rsidR="00000000" w:rsidRPr="00F30F29" w:rsidP="00C4343C">
      <w:pPr>
        <w:pStyle w:val="BodyText"/>
      </w:pPr>
      <w:r w:rsidRPr="00F30F29">
        <w:t>This section describes those language, literacy, numeracy and employment skills that are essential to performance.</w:t>
      </w:r>
    </w:p>
    <w:p w:rsidR="00000000" w:rsidRPr="00F30F29" w:rsidP="00C4343C">
      <w:pPr>
        <w:pStyle w:val="BodyText"/>
      </w:pPr>
      <w:r w:rsidRPr="00F30F29">
        <w:t>Foundation skills essential to performance are explicit in the performance criteria of this unit of comp</w:t>
      </w:r>
      <w:r w:rsidRPr="00F30F29">
        <w:t>etency.</w:t>
      </w:r>
    </w:p>
    <w:p w:rsidR="00000000" w:rsidRPr="00F30F29" w:rsidP="00F30F29">
      <w:pPr>
        <w:pStyle w:val="Heading1"/>
      </w:pPr>
      <w:bookmarkStart w:id="7" w:name="O_985635"/>
      <w:bookmarkEnd w:id="7"/>
      <w:r w:rsidRPr="00F30F29">
        <w:t>Unit Mapping Information</w:t>
      </w:r>
    </w:p>
    <w:p w:rsidR="00000000" w:rsidRPr="00F30F29" w:rsidP="00C4343C">
      <w:pPr>
        <w:pStyle w:val="BodyText"/>
      </w:pPr>
      <w:r w:rsidRPr="00F30F29">
        <w:t>Equivalent to MSL975019 Apply complex instrumental techniques, Release 1.</w:t>
      </w:r>
    </w:p>
    <w:p w:rsidR="00000000" w:rsidRPr="00F30F29" w:rsidP="00F30F29">
      <w:pPr>
        <w:pStyle w:val="Heading1"/>
      </w:pPr>
      <w:bookmarkStart w:id="8" w:name="O_985628"/>
      <w:bookmarkEnd w:id="8"/>
      <w:r w:rsidRPr="00F30F29">
        <w:t>Links</w:t>
      </w:r>
    </w:p>
    <w:p w:rsidR="00000000" w:rsidRPr="00F30F29" w:rsidP="00C4343C">
      <w:pPr>
        <w:pStyle w:val="BodyText"/>
      </w:pPr>
      <w:r w:rsidRPr="00F30F29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187096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F30F29" w:rsidP="00F30F29"/>
    <w:sectPr w:rsidSect="00F30F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F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F29" w:rsidRPr="00C4343C" w:rsidP="00C434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F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43C" w:rsidP="00F30F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343C" w:rsidP="00F30F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4343C" w:rsidP="00F30F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F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4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0F29" w:rsidRPr="00C4343C" w:rsidP="00C434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F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43C" w:rsidRPr="002D2AF8" w:rsidP="00F30F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MSL975047 Apply complex instrumental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C4343C" w:rsidP="00F30F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0F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0F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0F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0F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0F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0F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0F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0F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0F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0F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0F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0F29"/>
  </w:style>
  <w:style w:type="character" w:customStyle="1" w:styleId="Heading1Char">
    <w:name w:val="Heading 1 Char"/>
    <w:basedOn w:val="DefaultParagraphFont"/>
    <w:link w:val="Heading1"/>
    <w:rsid w:val="00F30F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0F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0F2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30F29"/>
    <w:rPr>
      <w:b/>
      <w:spacing w:val="0"/>
    </w:rPr>
  </w:style>
  <w:style w:type="character" w:styleId="Emphasis">
    <w:name w:val="Emphasis"/>
    <w:basedOn w:val="DefaultParagraphFont"/>
    <w:qFormat/>
    <w:rsid w:val="00F30F29"/>
    <w:rPr>
      <w:i/>
    </w:rPr>
  </w:style>
  <w:style w:type="paragraph" w:customStyle="1" w:styleId="SuperHeading">
    <w:name w:val="SuperHeading"/>
    <w:basedOn w:val="Normal"/>
    <w:rsid w:val="00F30F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0F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0F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0F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0F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0F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0F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0F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0F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0F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0F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0F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0F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0F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0F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0F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0F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0F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0F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0F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0F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0F2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30F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0F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0F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0F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0F2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0F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0F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0F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0F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0F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0F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0F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0F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0F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0F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0F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0F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0F29"/>
  </w:style>
  <w:style w:type="paragraph" w:styleId="TableofFigures">
    <w:name w:val="table of figures"/>
    <w:basedOn w:val="Normal"/>
    <w:next w:val="Normal"/>
    <w:semiHidden/>
    <w:rsid w:val="00F30F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0F2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30F29"/>
    <w:rPr>
      <w:rFonts w:ascii="Wingdings" w:hAnsi="Wingdings"/>
    </w:rPr>
  </w:style>
  <w:style w:type="paragraph" w:customStyle="1" w:styleId="TableHeading">
    <w:name w:val="Table Heading"/>
    <w:basedOn w:val="HeadingBase"/>
    <w:rsid w:val="00F30F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0F29"/>
    <w:rPr>
      <w:color w:val="0033CC"/>
      <w:u w:val="none"/>
    </w:rPr>
  </w:style>
  <w:style w:type="paragraph" w:customStyle="1" w:styleId="BodyTextRight">
    <w:name w:val="Body Text Right"/>
    <w:basedOn w:val="BodyText"/>
    <w:rsid w:val="00F30F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0F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0F2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0F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0F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0F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0F29"/>
    <w:rPr>
      <w:sz w:val="32"/>
    </w:rPr>
  </w:style>
  <w:style w:type="paragraph" w:customStyle="1" w:styleId="HeadingProcedure">
    <w:name w:val="Heading Procedure"/>
    <w:basedOn w:val="HeadingBase"/>
    <w:next w:val="Normal"/>
    <w:rsid w:val="00F30F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0F29"/>
    <w:pPr>
      <w:spacing w:before="60" w:after="60"/>
    </w:pPr>
  </w:style>
  <w:style w:type="paragraph" w:styleId="ListContinue">
    <w:name w:val="List Continue"/>
    <w:basedOn w:val="List"/>
    <w:rsid w:val="00F30F29"/>
    <w:pPr>
      <w:ind w:firstLine="0"/>
    </w:pPr>
  </w:style>
  <w:style w:type="paragraph" w:customStyle="1" w:styleId="ListNote">
    <w:name w:val="List Note"/>
    <w:basedOn w:val="List"/>
    <w:rsid w:val="00F30F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0F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0F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0F29"/>
    <w:rPr>
      <w:rFonts w:ascii="Courier New" w:hAnsi="Courier New"/>
    </w:rPr>
  </w:style>
  <w:style w:type="paragraph" w:customStyle="1" w:styleId="NoteBullet">
    <w:name w:val="Note Bullet"/>
    <w:basedOn w:val="Note"/>
    <w:rsid w:val="00F30F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0F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0F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0F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0F2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30F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0F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0F29"/>
    <w:rPr>
      <w:b/>
      <w:smallCaps/>
    </w:rPr>
  </w:style>
  <w:style w:type="paragraph" w:customStyle="1" w:styleId="TableListNumber">
    <w:name w:val="Table List Number"/>
    <w:basedOn w:val="ListNumber"/>
    <w:rsid w:val="00F30F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0F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0F29"/>
    <w:pPr>
      <w:numPr>
        <w:numId w:val="7"/>
      </w:numPr>
    </w:pPr>
  </w:style>
  <w:style w:type="paragraph" w:customStyle="1" w:styleId="ListAlpha2">
    <w:name w:val="List Alpha 2"/>
    <w:basedOn w:val="List2"/>
    <w:rsid w:val="00F30F29"/>
    <w:pPr>
      <w:numPr>
        <w:numId w:val="6"/>
      </w:numPr>
    </w:pPr>
  </w:style>
  <w:style w:type="paragraph" w:styleId="List2">
    <w:name w:val="List 2"/>
    <w:basedOn w:val="BodyText"/>
    <w:rsid w:val="00F30F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0F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0F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0F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0F2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0F2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30F29"/>
    <w:pPr>
      <w:numPr>
        <w:numId w:val="2"/>
      </w:numPr>
    </w:pPr>
  </w:style>
  <w:style w:type="paragraph" w:styleId="ListContinue2">
    <w:name w:val="List Continue 2"/>
    <w:basedOn w:val="List2"/>
    <w:rsid w:val="00F30F29"/>
    <w:pPr>
      <w:ind w:firstLine="0"/>
    </w:pPr>
  </w:style>
  <w:style w:type="paragraph" w:styleId="ListContinue3">
    <w:name w:val="List Continue 3"/>
    <w:basedOn w:val="List3"/>
    <w:rsid w:val="00F30F29"/>
    <w:pPr>
      <w:ind w:left="1021" w:firstLine="0"/>
    </w:pPr>
  </w:style>
  <w:style w:type="paragraph" w:styleId="ListContinue4">
    <w:name w:val="List Continue 4"/>
    <w:basedOn w:val="List4"/>
    <w:rsid w:val="00F30F29"/>
    <w:pPr>
      <w:ind w:firstLine="0"/>
    </w:pPr>
  </w:style>
  <w:style w:type="paragraph" w:styleId="ListContinue5">
    <w:name w:val="List Continue 5"/>
    <w:basedOn w:val="List5"/>
    <w:rsid w:val="00F30F29"/>
    <w:pPr>
      <w:ind w:firstLine="0"/>
    </w:pPr>
  </w:style>
  <w:style w:type="paragraph" w:styleId="ListNumber3">
    <w:name w:val="List Number 3"/>
    <w:basedOn w:val="List3"/>
    <w:rsid w:val="00F30F29"/>
    <w:pPr>
      <w:numPr>
        <w:numId w:val="3"/>
      </w:numPr>
    </w:pPr>
  </w:style>
  <w:style w:type="paragraph" w:styleId="ListNumber4">
    <w:name w:val="List Number 4"/>
    <w:basedOn w:val="List4"/>
    <w:rsid w:val="00F30F29"/>
    <w:pPr>
      <w:numPr>
        <w:numId w:val="4"/>
      </w:numPr>
    </w:pPr>
  </w:style>
  <w:style w:type="paragraph" w:styleId="ListNumber5">
    <w:name w:val="List Number 5"/>
    <w:basedOn w:val="List5"/>
    <w:rsid w:val="00F30F29"/>
    <w:pPr>
      <w:numPr>
        <w:numId w:val="5"/>
      </w:numPr>
    </w:pPr>
  </w:style>
  <w:style w:type="paragraph" w:styleId="BlockText">
    <w:name w:val="Block Text"/>
    <w:basedOn w:val="Normal"/>
    <w:rsid w:val="00F30F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0F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0F29"/>
    <w:rPr>
      <w:sz w:val="16"/>
      <w:vertAlign w:val="superscript"/>
    </w:rPr>
  </w:style>
  <w:style w:type="character" w:customStyle="1" w:styleId="Symbols">
    <w:name w:val="Symbols"/>
    <w:basedOn w:val="DefaultParagraphFont"/>
    <w:rsid w:val="00F30F29"/>
    <w:rPr>
      <w:rFonts w:ascii="Symbol" w:hAnsi="Symbol"/>
    </w:rPr>
  </w:style>
  <w:style w:type="character" w:customStyle="1" w:styleId="MenuOptions">
    <w:name w:val="Menu Options"/>
    <w:basedOn w:val="DefaultParagraphFont"/>
    <w:rsid w:val="00F30F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0F29"/>
    <w:rPr>
      <w:b/>
    </w:rPr>
  </w:style>
  <w:style w:type="character" w:customStyle="1" w:styleId="Underlined">
    <w:name w:val="Underlined"/>
    <w:basedOn w:val="DefaultParagraphFont"/>
    <w:rsid w:val="00F30F29"/>
    <w:rPr>
      <w:u w:val="single"/>
    </w:rPr>
  </w:style>
  <w:style w:type="paragraph" w:customStyle="1" w:styleId="TableBodyTextRight">
    <w:name w:val="Table Body Text Right"/>
    <w:basedOn w:val="TableBodyText"/>
    <w:rsid w:val="00F30F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0F29"/>
    <w:rPr>
      <w:sz w:val="18"/>
    </w:rPr>
  </w:style>
  <w:style w:type="paragraph" w:customStyle="1" w:styleId="BodySmallRight">
    <w:name w:val="Body Small Right"/>
    <w:basedOn w:val="BodyTextRight"/>
    <w:rsid w:val="00F30F29"/>
    <w:rPr>
      <w:sz w:val="18"/>
      <w:szCs w:val="18"/>
    </w:rPr>
  </w:style>
  <w:style w:type="paragraph" w:customStyle="1" w:styleId="MarginEdition">
    <w:name w:val="Margin Edition"/>
    <w:basedOn w:val="MarginNote"/>
    <w:rsid w:val="00F30F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0F29"/>
    <w:rPr>
      <w:sz w:val="2"/>
      <w:szCs w:val="2"/>
    </w:rPr>
  </w:style>
  <w:style w:type="character" w:customStyle="1" w:styleId="Small">
    <w:name w:val="Small"/>
    <w:basedOn w:val="DefaultParagraphFont"/>
    <w:rsid w:val="00F30F29"/>
    <w:rPr>
      <w:sz w:val="16"/>
    </w:rPr>
  </w:style>
  <w:style w:type="paragraph" w:customStyle="1" w:styleId="WideTable">
    <w:name w:val="Wide Table"/>
    <w:basedOn w:val="Normal"/>
    <w:rsid w:val="00F30F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0F29"/>
  </w:style>
  <w:style w:type="paragraph" w:styleId="Quote">
    <w:name w:val="Quote"/>
    <w:basedOn w:val="Heading1"/>
    <w:link w:val="QuoteChar"/>
    <w:qFormat/>
    <w:rsid w:val="00F30F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0F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0F29"/>
    <w:pPr>
      <w:pageBreakBefore/>
    </w:pPr>
  </w:style>
  <w:style w:type="paragraph" w:customStyle="1" w:styleId="Border">
    <w:name w:val="Border"/>
    <w:basedOn w:val="Normal"/>
    <w:qFormat/>
    <w:rsid w:val="00F30F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0F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F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F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0F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0F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0F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0F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0F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0F29"/>
    <w:rPr>
      <w:u w:val="single"/>
    </w:rPr>
  </w:style>
  <w:style w:type="character" w:customStyle="1" w:styleId="BoldandItalics">
    <w:name w:val="Bold and Italics"/>
    <w:qFormat/>
    <w:rsid w:val="00F30F29"/>
    <w:rPr>
      <w:b/>
      <w:i/>
      <w:u w:val="none"/>
    </w:rPr>
  </w:style>
  <w:style w:type="paragraph" w:styleId="BalloonText">
    <w:name w:val="Balloon Text"/>
    <w:basedOn w:val="Normal"/>
    <w:link w:val="BalloonTextChar"/>
    <w:rsid w:val="00F30F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0F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0F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0F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0F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0F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0F29"/>
    <w:pPr>
      <w:spacing w:before="0" w:after="0"/>
    </w:pPr>
  </w:style>
  <w:style w:type="paragraph" w:customStyle="1" w:styleId="BodyTextBold">
    <w:name w:val="Body Text Bold"/>
    <w:basedOn w:val="BodyText"/>
    <w:qFormat/>
    <w:rsid w:val="00F30F29"/>
    <w:rPr>
      <w:b/>
    </w:rPr>
  </w:style>
  <w:style w:type="character" w:styleId="Hyperlink">
    <w:name w:val="Hyperlink"/>
    <w:basedOn w:val="DefaultParagraphFont"/>
    <w:uiPriority w:val="99"/>
    <w:unhideWhenUsed/>
    <w:rsid w:val="00C434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687</Words>
  <Characters>4576</Characters>
  <Application>Microsoft Office Word</Application>
  <DocSecurity>0</DocSecurity>
  <Lines>228</Lines>
  <Paragraphs>109</Paragraphs>
  <ScaleCrop>false</ScaleCrop>
  <Company>Author-it Software Corporation Ltd.</Company>
  <LinksUpToDate>false</LinksUpToDate>
  <CharactersWithSpaces>5154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MSL975047 Apply complex instrumental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2022-12-09T01:06:00Z</dcterms:created>
  <dcterms:modified xsi:type="dcterms:W3CDTF">2022-12-09T01:06:00Z</dcterms:modified>
</cp:coreProperties>
</file>