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616" w:rsidP="00045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MSL975047 Apply complex instrumental techniques</w:t>
      </w:r>
      <w:r>
        <w:fldChar w:fldCharType="end"/>
      </w:r>
    </w:p>
    <w:p w:rsidR="00045616" w:rsidP="00045616">
      <w:pPr>
        <w:pStyle w:val="Version"/>
        <w:sectPr w:rsidSect="00F15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F61" w:rsidP="00F15F61">
      <w:pPr>
        <w:pStyle w:val="SuperHeading"/>
      </w:pPr>
      <w:r w:rsidRPr="00F15F61">
        <w:t>MSL975047 Apply complex instrumental techniques</w:t>
      </w:r>
    </w:p>
    <w:p w:rsidR="00000000" w:rsidRPr="00F15F61" w:rsidP="00F15F61">
      <w:pPr>
        <w:pStyle w:val="Heading1"/>
      </w:pPr>
      <w:bookmarkStart w:id="1" w:name="O_985634"/>
      <w:bookmarkEnd w:id="1"/>
      <w:r w:rsidRPr="00F15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5F61" w:rsidP="00F15F61">
            <w:pPr>
              <w:pStyle w:val="BodyText"/>
            </w:pPr>
            <w:r w:rsidRPr="00F15F6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rPr>
                <w:rStyle w:val="SpecialBold"/>
              </w:rPr>
              <w:t>Comments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 xml:space="preserve">This version was released in </w:t>
            </w:r>
            <w:r w:rsidRPr="00F15F61">
              <w:rPr>
                <w:rStyle w:val="Emphasis"/>
              </w:rPr>
              <w:t>MSL Laboratory Operations Training Package Release 2.0.</w:t>
            </w:r>
          </w:p>
          <w:p w:rsidR="00000000" w:rsidRPr="00F15F61" w:rsidP="00F15F61">
            <w:pPr>
              <w:pStyle w:val="BodyText"/>
            </w:pPr>
            <w:r w:rsidRPr="00F15F61">
              <w:t>Supersedes and equivalent to MSL975019 Apply complex instrumental techniques. Conditional/optional prerequisite re</w:t>
            </w:r>
            <w:r w:rsidRPr="00F15F61">
              <w:t>moved. Changes to elements and performance criteria. Range of conditions removed. Assessment requirements amended.</w:t>
            </w:r>
          </w:p>
        </w:tc>
      </w:tr>
    </w:tbl>
    <w:p w:rsidR="00000000" w:rsidRPr="00F15F61" w:rsidP="00F15F61">
      <w:pPr>
        <w:pStyle w:val="BodyText"/>
      </w:pPr>
    </w:p>
    <w:p w:rsidR="00000000" w:rsidRPr="00F15F61" w:rsidP="00F15F61">
      <w:pPr>
        <w:pStyle w:val="AllowPageBreak"/>
      </w:pPr>
    </w:p>
    <w:p w:rsidR="00000000" w:rsidRPr="00F15F61" w:rsidP="00F15F61">
      <w:pPr>
        <w:pStyle w:val="Heading1"/>
      </w:pPr>
      <w:bookmarkStart w:id="2" w:name="O_985640"/>
      <w:bookmarkEnd w:id="2"/>
      <w:r w:rsidRPr="00F15F61">
        <w:t>Application</w:t>
      </w:r>
    </w:p>
    <w:p w:rsidR="00000000" w:rsidRPr="00F15F61" w:rsidP="00045616">
      <w:pPr>
        <w:pStyle w:val="BodyText"/>
      </w:pPr>
      <w:r w:rsidRPr="00F15F61">
        <w:t>This unit of competency describes the skills and knowledge to analyse samples using specialised analytical ins</w:t>
      </w:r>
      <w:r w:rsidRPr="00F15F61">
        <w:t>truments that require highly developed technical skills to operate effectively. Competency includes the ability to establish client needs for routine and non-routine samples, optimising workplace procedures and instruments for specific samples, obtaining v</w:t>
      </w:r>
      <w:r w:rsidRPr="00F15F61">
        <w:t>alid and reliable data and reporting test results. Personnel are required to recognise atypical test data/results and troubleshoot common analytical procedure and equipment problems.</w:t>
      </w:r>
    </w:p>
    <w:p w:rsidR="00000000" w:rsidRPr="00F15F61" w:rsidP="00045616">
      <w:pPr>
        <w:pStyle w:val="BodyText"/>
      </w:pPr>
      <w:r w:rsidRPr="00F15F61">
        <w:t>This unit applies to technical officers working in all industry sectors,</w:t>
      </w:r>
      <w:r w:rsidRPr="00F15F61">
        <w:t xml:space="preserve"> government agencies and research laboratories. All operations and analytical methods must comply with relevant standards, appropriate procedures and/or workplace requirements. Although a supervisor may not always be present, the technical officer will fol</w:t>
      </w:r>
      <w:r w:rsidRPr="00F15F61">
        <w:t>low standard operating procedures (SOPs) that clearly describe the scope of permitted practice, including varying workplace/test procedures and communicating results to people outside the laboratory.</w:t>
      </w:r>
    </w:p>
    <w:p w:rsidR="00000000" w:rsidRPr="00F15F61" w:rsidP="00045616">
      <w:pPr>
        <w:pStyle w:val="BodyText"/>
      </w:pPr>
      <w:r w:rsidRPr="00F15F61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F15F61">
        <w:t>and codes of practice within Australia must also be applied.</w:t>
      </w:r>
    </w:p>
    <w:p w:rsidR="00000000" w:rsidRPr="00F15F61" w:rsidP="00F15F61">
      <w:pPr>
        <w:pStyle w:val="Heading1"/>
      </w:pPr>
      <w:bookmarkStart w:id="3" w:name="O_985639"/>
      <w:bookmarkEnd w:id="3"/>
      <w:r w:rsidRPr="00F15F6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4832"/>
      </w:tblGrid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MSL974019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 xml:space="preserve">Perform chemical tests and procedures </w:t>
            </w:r>
          </w:p>
        </w:tc>
      </w:tr>
    </w:tbl>
    <w:p w:rsidR="00000000" w:rsidRPr="00F15F61" w:rsidP="00F15F61">
      <w:pPr>
        <w:pStyle w:val="BodyText"/>
      </w:pPr>
    </w:p>
    <w:p w:rsidR="00000000" w:rsidRPr="00F15F61" w:rsidP="00F15F61">
      <w:pPr>
        <w:pStyle w:val="AllowPageBreak"/>
      </w:pPr>
    </w:p>
    <w:p w:rsidR="00000000" w:rsidRPr="00F15F61" w:rsidP="00F15F61">
      <w:pPr>
        <w:pStyle w:val="Heading1"/>
      </w:pPr>
      <w:bookmarkStart w:id="4" w:name="O_985638"/>
      <w:bookmarkEnd w:id="4"/>
      <w:r w:rsidRPr="00F15F61">
        <w:t>Competency Field</w:t>
      </w:r>
    </w:p>
    <w:p w:rsidR="00000000" w:rsidRPr="00F15F61" w:rsidP="00045616">
      <w:pPr>
        <w:pStyle w:val="BodyText"/>
      </w:pPr>
      <w:r w:rsidRPr="00F15F61">
        <w:t>Testing</w:t>
      </w:r>
    </w:p>
    <w:p w:rsidR="00000000" w:rsidRPr="00F15F61" w:rsidP="00F15F61">
      <w:pPr>
        <w:pStyle w:val="Heading1"/>
      </w:pPr>
      <w:bookmarkStart w:id="5" w:name="O_985637"/>
      <w:bookmarkEnd w:id="5"/>
      <w:r w:rsidRPr="00F15F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Elements descri</w:t>
            </w:r>
            <w:r w:rsidRPr="00F15F61">
              <w:t>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Performance criteria describe the performance needed to demonstrate achievement of the element.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Liaise with client or sample provider to determine client needs and sample history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Record sample description, compare with specification and record and report discrepancies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Identify non-routine samples and the possible need to vary workplace procedures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Seek advice from supervisor about any proposed variations and document all approved changes.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Schedule analysis using workplace procedures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Obtain a representative analytical portion of the laboratory sample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Prepare sample in accordance with testing requirements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Prepare validation checks and/or calibration standards for analytical portions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Use specialised procedures for ultra-trace samples and standard preparation as required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rPr>
                <w:rStyle w:val="SpecialBold"/>
              </w:rPr>
              <w:t>Set up and optimise instrument and sub-systems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Perform pre-use and safety checks using workplace procedures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Assemble appropriate instrument sub-sy</w:t>
            </w:r>
            <w:r w:rsidRPr="00F15F61">
              <w:t>stems to construct the required analytical path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Start up and condition the instrument using workplace procedures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Check and optimise each instrument sub-system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Optimise instrumental parameters to suit sample and test requirements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Check calibration status of instrument and perform calibration using specified standards and procedures, as required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Clean, care for and store equipment and consumables in accordance with workplace procedures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Measure analyte response for standards, validation checks and samples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Conduct sufficient measurements to obtain reliable data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Return instruments to standby or shutdown condition as required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Confirm data is the result of valid measurements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Perform required calculations and ensure results are consistent with standards or estimations and expectations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Record results with the appropriate accuracy, precision, uncertainty and units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Analyse trends in data and/or results and report out-of-specification or atypical results promptly to appropriate personnel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Troubleshoot analytical procedure or equipment problems which have led to atypical data or results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Record entries on report forms or into a laboratory information management system accurately calculating, recording or transcribing data as required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>Ensure traceability of sample from receipt to reporting of results</w:t>
            </w:r>
          </w:p>
        </w:tc>
      </w:tr>
    </w:tbl>
    <w:p w:rsidR="00000000" w:rsidRPr="00F15F61" w:rsidP="00F15F61">
      <w:pPr>
        <w:pStyle w:val="BodyText"/>
      </w:pPr>
    </w:p>
    <w:p w:rsidR="00000000" w:rsidRPr="00F15F61" w:rsidP="00F15F61">
      <w:pPr>
        <w:pStyle w:val="AllowPageBreak"/>
      </w:pPr>
    </w:p>
    <w:p w:rsidR="00000000" w:rsidRPr="00F15F61" w:rsidP="00F15F61">
      <w:pPr>
        <w:pStyle w:val="Heading1"/>
      </w:pPr>
      <w:bookmarkStart w:id="6" w:name="O_985636"/>
      <w:bookmarkEnd w:id="6"/>
      <w:r w:rsidRPr="00F15F61">
        <w:t>Foundation Skills</w:t>
      </w:r>
    </w:p>
    <w:p w:rsidR="00000000" w:rsidRPr="00F15F61" w:rsidP="00045616">
      <w:pPr>
        <w:pStyle w:val="BodyText"/>
      </w:pPr>
      <w:r w:rsidRPr="00F15F61">
        <w:t>This section describes those language, literacy, numeracy and employment skills that are essential to performance.</w:t>
      </w:r>
    </w:p>
    <w:p w:rsidR="00000000" w:rsidRPr="00F15F61" w:rsidP="00045616">
      <w:pPr>
        <w:pStyle w:val="BodyText"/>
      </w:pPr>
      <w:r w:rsidRPr="00F15F61">
        <w:t>Foundation skills essential to performance are explicit in the performance criteria of this unit of comp</w:t>
      </w:r>
      <w:r w:rsidRPr="00F15F61">
        <w:t>etency.</w:t>
      </w:r>
    </w:p>
    <w:p w:rsidR="00000000" w:rsidRPr="00F15F61" w:rsidP="00F15F61">
      <w:pPr>
        <w:pStyle w:val="Heading1"/>
      </w:pPr>
      <w:bookmarkStart w:id="7" w:name="O_985635"/>
      <w:bookmarkEnd w:id="7"/>
      <w:r w:rsidRPr="00F15F61">
        <w:t>Unit Mapping Information</w:t>
      </w:r>
    </w:p>
    <w:p w:rsidR="00000000" w:rsidRPr="00F15F61" w:rsidP="00045616">
      <w:pPr>
        <w:pStyle w:val="BodyText"/>
      </w:pPr>
      <w:r w:rsidRPr="00F15F61">
        <w:t>Equivalent to MSL975019 Apply complex instrumental techniques, Release 1.</w:t>
      </w:r>
    </w:p>
    <w:p w:rsidR="00000000" w:rsidRPr="00F15F61" w:rsidP="00F15F61">
      <w:pPr>
        <w:pStyle w:val="Heading1"/>
      </w:pPr>
      <w:bookmarkStart w:id="8" w:name="O_985628"/>
      <w:bookmarkEnd w:id="8"/>
      <w:r w:rsidRPr="00F15F61">
        <w:t>Links</w:t>
      </w:r>
    </w:p>
    <w:p w:rsidR="00000000" w:rsidRPr="00F15F61" w:rsidP="00045616">
      <w:pPr>
        <w:pStyle w:val="BodyText"/>
      </w:pPr>
      <w:r w:rsidRPr="00F15F6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02A3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15F61" w:rsidP="00045616">
      <w:pPr>
        <w:pStyle w:val="BodyText"/>
        <w:sectPr w:rsidSect="00F15F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5F61" w:rsidP="00F15F61">
      <w:pPr>
        <w:pStyle w:val="SuperHeading"/>
      </w:pPr>
      <w:r w:rsidRPr="00F15F61">
        <w:t>Assessment Requirements for MSL975047 Apply complex instrumental techniques</w:t>
      </w:r>
    </w:p>
    <w:p w:rsidR="00000000" w:rsidRPr="00F15F61" w:rsidP="00F15F61">
      <w:pPr>
        <w:pStyle w:val="Heading1"/>
      </w:pPr>
      <w:bookmarkStart w:id="9" w:name="O_985630"/>
      <w:bookmarkEnd w:id="9"/>
      <w:r w:rsidRPr="00F15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5F61" w:rsidP="00F15F61">
            <w:pPr>
              <w:pStyle w:val="BodyText"/>
            </w:pPr>
            <w:r w:rsidRPr="00F15F6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rPr>
                <w:rStyle w:val="SpecialBold"/>
              </w:rPr>
              <w:t>Comments</w:t>
            </w:r>
          </w:p>
        </w:tc>
      </w:tr>
      <w:tr w:rsidTr="00F15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F61">
            <w:pPr>
              <w:pStyle w:val="BodyText"/>
              <w:rPr>
                <w:lang w:val="en-NZ"/>
              </w:rPr>
            </w:pPr>
            <w:r w:rsidRPr="00F15F6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F61" w:rsidP="00F15F61">
            <w:pPr>
              <w:pStyle w:val="BodyText"/>
            </w:pPr>
            <w:r w:rsidRPr="00F15F61">
              <w:t xml:space="preserve">This version was released in </w:t>
            </w:r>
            <w:r w:rsidRPr="00F15F61">
              <w:rPr>
                <w:rStyle w:val="Emphasis"/>
              </w:rPr>
              <w:t>MSL Laboratory Operations Training Package Release 2.0.</w:t>
            </w:r>
          </w:p>
          <w:p w:rsidR="00000000" w:rsidRPr="00F15F61" w:rsidP="00F15F61">
            <w:pPr>
              <w:pStyle w:val="BodyText"/>
            </w:pPr>
            <w:r w:rsidRPr="00F15F61">
              <w:t>Supersedes and equivalent to MSL975019 Apply complex instrumental techniques. Conditional/optional prerequisite removed. Changes to elements and performance criteria. Range of conditions removed. Asse</w:t>
            </w:r>
            <w:r w:rsidRPr="00F15F61">
              <w:t>ssment requirements amended.</w:t>
            </w:r>
          </w:p>
        </w:tc>
      </w:tr>
    </w:tbl>
    <w:p w:rsidR="00000000" w:rsidRPr="00F15F61" w:rsidP="00F15F61">
      <w:pPr>
        <w:pStyle w:val="BodyText"/>
      </w:pPr>
    </w:p>
    <w:p w:rsidR="00000000" w:rsidRPr="00F15F61" w:rsidP="00F15F61">
      <w:pPr>
        <w:pStyle w:val="AllowPageBreak"/>
      </w:pPr>
    </w:p>
    <w:p w:rsidR="00000000" w:rsidRPr="00F15F61" w:rsidP="00F15F61">
      <w:pPr>
        <w:pStyle w:val="Heading1"/>
      </w:pPr>
      <w:bookmarkStart w:id="10" w:name="O_985633"/>
      <w:bookmarkEnd w:id="10"/>
      <w:r w:rsidRPr="00F15F61">
        <w:t>Performance Evidence</w:t>
      </w:r>
    </w:p>
    <w:p w:rsidR="00000000" w:rsidRPr="00F15F61" w:rsidP="00045616">
      <w:pPr>
        <w:pStyle w:val="BodyText"/>
      </w:pPr>
      <w:r w:rsidRPr="00F15F61">
        <w:t>There must be evidence the candidate has completed the tasks outlined in the elements and performance criteria of this unit, and:</w:t>
      </w:r>
    </w:p>
    <w:p w:rsidR="00000000" w:rsidRPr="00F15F61" w:rsidP="00F15F61">
      <w:pPr>
        <w:pStyle w:val="ListBullet"/>
      </w:pPr>
      <w:r w:rsidRPr="00F15F61">
        <w:t>used a specialised analytical instrument to analyse 3 di</w:t>
      </w:r>
      <w:r w:rsidRPr="00F15F61">
        <w:t>fferent complex samples and obtain valid and reliable data.</w:t>
      </w:r>
    </w:p>
    <w:p w:rsidR="00000000" w:rsidRPr="00F15F61" w:rsidP="00F15F61">
      <w:pPr>
        <w:pStyle w:val="AllowPageBreak"/>
      </w:pPr>
    </w:p>
    <w:p w:rsidR="00000000" w:rsidRPr="00F15F61" w:rsidP="00F15F61">
      <w:pPr>
        <w:pStyle w:val="Heading1"/>
      </w:pPr>
      <w:bookmarkStart w:id="11" w:name="O_985632"/>
      <w:bookmarkEnd w:id="11"/>
      <w:r w:rsidRPr="00F15F61">
        <w:t>Knowledge Evidence</w:t>
      </w:r>
    </w:p>
    <w:p w:rsidR="00000000" w:rsidRPr="00F15F61" w:rsidP="00045616">
      <w:pPr>
        <w:pStyle w:val="BodyText"/>
      </w:pPr>
      <w:r w:rsidRPr="00F15F61">
        <w:t>There must be evidence the candidate has knowledge of:</w:t>
      </w:r>
    </w:p>
    <w:p w:rsidR="00000000" w:rsidRPr="00F15F61" w:rsidP="00F15F61">
      <w:pPr>
        <w:pStyle w:val="ListBullet"/>
      </w:pPr>
      <w:r w:rsidRPr="00F15F61">
        <w:t xml:space="preserve">principles and concepts associated with a specialised analytical instrument’s operation and analytical </w:t>
      </w:r>
      <w:r w:rsidRPr="00F15F61">
        <w:t>procedure or test method</w:t>
      </w:r>
    </w:p>
    <w:p w:rsidR="00000000" w:rsidRPr="00F15F61" w:rsidP="00F15F61">
      <w:pPr>
        <w:pStyle w:val="ListBullet"/>
      </w:pPr>
      <w:r w:rsidRPr="00F15F61">
        <w:t>handling of unstable or hazardous chemicals and samples and the fragile and labile nature of biological materials</w:t>
      </w:r>
    </w:p>
    <w:p w:rsidR="00000000" w:rsidRPr="00F15F61" w:rsidP="00F15F61">
      <w:pPr>
        <w:pStyle w:val="ListBullet"/>
      </w:pPr>
      <w:r w:rsidRPr="00F15F61">
        <w:t>sample preparation procedures</w:t>
      </w:r>
    </w:p>
    <w:p w:rsidR="00000000" w:rsidRPr="00F15F61" w:rsidP="00F15F61">
      <w:pPr>
        <w:pStyle w:val="ListBullet"/>
      </w:pPr>
      <w:r w:rsidRPr="00F15F61">
        <w:t>functions of key components and sub-systems of the instrument and the effects on output</w:t>
      </w:r>
      <w:r w:rsidRPr="00F15F61">
        <w:t>s and results of modifying instrumental variables</w:t>
      </w:r>
    </w:p>
    <w:p w:rsidR="00000000" w:rsidRPr="00F15F61" w:rsidP="00F15F61">
      <w:pPr>
        <w:pStyle w:val="ListBullet"/>
      </w:pPr>
      <w:r w:rsidRPr="00F15F61">
        <w:t>specialised analytical instruments</w:t>
      </w:r>
    </w:p>
    <w:p w:rsidR="00000000" w:rsidRPr="00F15F61" w:rsidP="00F15F61">
      <w:pPr>
        <w:pStyle w:val="ListBullet"/>
      </w:pPr>
      <w:r w:rsidRPr="00F15F61">
        <w:t>tests requiring specialised analytical instruments:</w:t>
      </w:r>
    </w:p>
    <w:p w:rsidR="00000000" w:rsidRPr="00F15F61" w:rsidP="00F15F61">
      <w:pPr>
        <w:pStyle w:val="ListBullet2"/>
      </w:pPr>
      <w:r w:rsidRPr="00F15F61">
        <w:t>trace analysis</w:t>
      </w:r>
    </w:p>
    <w:p w:rsidR="00000000" w:rsidRPr="00F15F61" w:rsidP="00F15F61">
      <w:pPr>
        <w:pStyle w:val="ListBullet2"/>
      </w:pPr>
      <w:r w:rsidRPr="00F15F61">
        <w:t>non-destructive testing</w:t>
      </w:r>
    </w:p>
    <w:p w:rsidR="00000000" w:rsidRPr="00F15F61" w:rsidP="00F15F61">
      <w:pPr>
        <w:pStyle w:val="ListBullet2"/>
      </w:pPr>
      <w:r w:rsidRPr="00F15F61">
        <w:t>multi-analyte determination</w:t>
      </w:r>
    </w:p>
    <w:p w:rsidR="00000000" w:rsidRPr="00F15F61" w:rsidP="00F15F61">
      <w:pPr>
        <w:pStyle w:val="ListBullet2"/>
      </w:pPr>
      <w:r w:rsidRPr="00F15F61">
        <w:t>analysis involving high sample throughput</w:t>
      </w:r>
    </w:p>
    <w:p w:rsidR="00000000" w:rsidRPr="00F15F61" w:rsidP="00F15F61">
      <w:pPr>
        <w:pStyle w:val="ListBullet"/>
      </w:pPr>
      <w:r w:rsidRPr="00F15F61">
        <w:t>instrument sub-systems:</w:t>
      </w:r>
    </w:p>
    <w:p w:rsidR="00000000" w:rsidRPr="00F15F61" w:rsidP="00F15F61">
      <w:pPr>
        <w:pStyle w:val="ListBullet2"/>
      </w:pPr>
      <w:r w:rsidRPr="00F15F61">
        <w:t>sample introduction units and auto sampling equipment</w:t>
      </w:r>
    </w:p>
    <w:p w:rsidR="00000000" w:rsidRPr="00F15F61" w:rsidP="00F15F61">
      <w:pPr>
        <w:pStyle w:val="ListBullet2"/>
      </w:pPr>
      <w:r w:rsidRPr="00F15F61">
        <w:t>detectors and signal conditioning units</w:t>
      </w:r>
    </w:p>
    <w:p w:rsidR="00000000" w:rsidRPr="00F15F61" w:rsidP="00F15F61">
      <w:pPr>
        <w:pStyle w:val="ListBullet2"/>
      </w:pPr>
      <w:r w:rsidRPr="00F15F61">
        <w:t>temperature control devices, such as cryostats, ovens and thermostat baths</w:t>
      </w:r>
    </w:p>
    <w:p w:rsidR="00000000" w:rsidRPr="00F15F61" w:rsidP="00F15F61">
      <w:pPr>
        <w:pStyle w:val="ListBullet2"/>
      </w:pPr>
      <w:r w:rsidRPr="00F15F61">
        <w:t>software control/interface</w:t>
      </w:r>
    </w:p>
    <w:p w:rsidR="00000000" w:rsidRPr="00F15F61" w:rsidP="00F15F61">
      <w:pPr>
        <w:pStyle w:val="ListBullet"/>
      </w:pPr>
      <w:r w:rsidRPr="00F15F61">
        <w:t>workplace procedures for:</w:t>
      </w:r>
    </w:p>
    <w:p w:rsidR="00000000" w:rsidRPr="00F15F61" w:rsidP="00F15F61">
      <w:pPr>
        <w:pStyle w:val="ListBullet2"/>
      </w:pPr>
      <w:r w:rsidRPr="00F15F61">
        <w:t>instrum</w:t>
      </w:r>
      <w:r w:rsidRPr="00F15F61">
        <w:t xml:space="preserve">ent performance optimisation </w:t>
      </w:r>
    </w:p>
    <w:p w:rsidR="00000000" w:rsidRPr="00F15F61" w:rsidP="00F15F61">
      <w:pPr>
        <w:pStyle w:val="ListBullet2"/>
      </w:pPr>
      <w:r w:rsidRPr="00F15F61">
        <w:t>equipment operation and troubleshooting techniques</w:t>
      </w:r>
    </w:p>
    <w:p w:rsidR="00000000" w:rsidRPr="00F15F61" w:rsidP="00F15F61">
      <w:pPr>
        <w:pStyle w:val="ListBullet2"/>
      </w:pPr>
      <w:r w:rsidRPr="00F15F61">
        <w:t>common analytical procedure and equipment problems, including:</w:t>
      </w:r>
    </w:p>
    <w:p w:rsidR="00000000" w:rsidRPr="00F15F61" w:rsidP="00F15F61">
      <w:pPr>
        <w:pStyle w:val="ListBullet3"/>
      </w:pPr>
      <w:r w:rsidRPr="00F15F61">
        <w:t>sample introduction blockages</w:t>
      </w:r>
    </w:p>
    <w:p w:rsidR="00000000" w:rsidRPr="00F15F61" w:rsidP="00F15F61">
      <w:pPr>
        <w:pStyle w:val="ListBullet3"/>
      </w:pPr>
      <w:r w:rsidRPr="00F15F61">
        <w:t>incomplete atomisation of analyte</w:t>
      </w:r>
    </w:p>
    <w:p w:rsidR="00000000" w:rsidRPr="00F15F61" w:rsidP="00F15F61">
      <w:pPr>
        <w:pStyle w:val="ListBullet3"/>
      </w:pPr>
      <w:r w:rsidRPr="00F15F61">
        <w:t>poor resolution of peaks</w:t>
      </w:r>
    </w:p>
    <w:p w:rsidR="00000000" w:rsidRPr="00F15F61" w:rsidP="00F15F61">
      <w:pPr>
        <w:pStyle w:val="ListBullet3"/>
      </w:pPr>
      <w:r w:rsidRPr="00F15F61">
        <w:t>poor sensitivity</w:t>
      </w:r>
    </w:p>
    <w:p w:rsidR="00000000" w:rsidRPr="00F15F61" w:rsidP="00F15F61">
      <w:pPr>
        <w:pStyle w:val="ListBullet2"/>
      </w:pPr>
      <w:r w:rsidRPr="00F15F61">
        <w:t>calculation steps to give results in appropriate accuracy, precision, uncertainty and units</w:t>
      </w:r>
    </w:p>
    <w:p w:rsidR="00000000" w:rsidRPr="00F15F61" w:rsidP="00F15F61">
      <w:pPr>
        <w:pStyle w:val="ListBullet2"/>
      </w:pPr>
      <w:r w:rsidRPr="00F15F61">
        <w:t xml:space="preserve">equipment maintenance </w:t>
      </w:r>
    </w:p>
    <w:p w:rsidR="00000000" w:rsidRPr="00F15F61" w:rsidP="00F15F61">
      <w:pPr>
        <w:pStyle w:val="ListBullet"/>
      </w:pPr>
      <w:r w:rsidRPr="00F15F61">
        <w:t>awareness of environmental sustainability issues as they relate to the work task</w:t>
      </w:r>
    </w:p>
    <w:p w:rsidR="00000000" w:rsidRPr="00F15F61" w:rsidP="00F15F61">
      <w:pPr>
        <w:pStyle w:val="ListBullet"/>
      </w:pPr>
      <w:r w:rsidRPr="00F15F61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F15F61" w:rsidP="00F15F61">
      <w:pPr>
        <w:pStyle w:val="AllowPageBreak"/>
      </w:pPr>
    </w:p>
    <w:p w:rsidR="00000000" w:rsidRPr="00F15F61" w:rsidP="00F15F61">
      <w:pPr>
        <w:pStyle w:val="Heading1"/>
      </w:pPr>
      <w:bookmarkStart w:id="12" w:name="O_985631"/>
      <w:bookmarkEnd w:id="12"/>
      <w:r w:rsidRPr="00F15F61">
        <w:t>Assessment Conditions</w:t>
      </w:r>
    </w:p>
    <w:p w:rsidR="00000000" w:rsidRPr="00F15F61" w:rsidP="00045616">
      <w:pPr>
        <w:pStyle w:val="BodyText"/>
      </w:pPr>
      <w:r w:rsidRPr="00F15F61">
        <w:t>Skil</w:t>
      </w:r>
      <w:r w:rsidRPr="00F15F61">
        <w:t xml:space="preserve">ls must have been demonstrated in the workplace or in a simulated environment that reflects workplace conditions and contingencies. The following conditions must be met for this unit: </w:t>
      </w:r>
    </w:p>
    <w:p w:rsidR="00000000" w:rsidRPr="00F15F61" w:rsidP="00F15F61">
      <w:pPr>
        <w:pStyle w:val="ListBullet"/>
      </w:pPr>
      <w:r w:rsidRPr="00F15F61">
        <w:t xml:space="preserve">use of suitable facilities, equipment and resources, including: </w:t>
      </w:r>
    </w:p>
    <w:p w:rsidR="00000000" w:rsidRPr="00F15F61" w:rsidP="00F15F61">
      <w:pPr>
        <w:pStyle w:val="ListBullet2"/>
      </w:pPr>
      <w:r w:rsidRPr="00F15F61">
        <w:t>a st</w:t>
      </w:r>
      <w:r w:rsidRPr="00F15F61">
        <w:t>andard laboratory</w:t>
      </w:r>
    </w:p>
    <w:p w:rsidR="00000000" w:rsidRPr="00F15F61" w:rsidP="00F15F61">
      <w:pPr>
        <w:pStyle w:val="ListBullet2"/>
      </w:pPr>
      <w:r w:rsidRPr="00F15F61">
        <w:t>specialised analytical instruments, laboratory reagents and equipment, standard operating procedures (SOPs) and test methods.</w:t>
      </w:r>
    </w:p>
    <w:p w:rsidR="00000000" w:rsidRPr="00F15F61" w:rsidP="00045616">
      <w:pPr>
        <w:pStyle w:val="BodyText"/>
      </w:pPr>
      <w:r w:rsidRPr="00F15F61">
        <w:br/>
        <w:t>Assessors must satisfy the NVR/AQTF mandatory competency requirements for assessors.</w:t>
      </w:r>
    </w:p>
    <w:p w:rsidR="00000000" w:rsidRPr="00F15F61" w:rsidP="00F15F61">
      <w:pPr>
        <w:pStyle w:val="AllowPageBreak"/>
      </w:pPr>
    </w:p>
    <w:p w:rsidR="00000000" w:rsidRPr="00F15F61" w:rsidP="00F15F61">
      <w:pPr>
        <w:pStyle w:val="Heading1"/>
      </w:pPr>
      <w:bookmarkStart w:id="13" w:name="O_985629"/>
      <w:bookmarkEnd w:id="13"/>
      <w:r w:rsidRPr="00F15F61">
        <w:t>Links</w:t>
      </w:r>
    </w:p>
    <w:p w:rsidR="00000000" w:rsidRPr="00F15F61" w:rsidP="00045616">
      <w:pPr>
        <w:pStyle w:val="BodyText"/>
      </w:pPr>
      <w:r w:rsidRPr="00F15F61">
        <w:t>Tra</w:t>
      </w:r>
      <w:r w:rsidRPr="00F15F61">
        <w:t xml:space="preserve">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02A3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15F61" w:rsidP="00F15F61"/>
    <w:sectPr w:rsidSect="00F15F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F61" w:rsidRPr="00045616" w:rsidP="00045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16" w:rsidP="00F15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5616" w:rsidP="00F15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5616" w:rsidP="00F15F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F61" w:rsidP="00F15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5616">
      <w:t>Approved</w:t>
    </w:r>
    <w:r w:rsidR="000456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56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5616">
      <w:rPr>
        <w:noProof/>
      </w:rPr>
      <w:t>5</w:t>
    </w:r>
    <w:r>
      <w:rPr>
        <w:noProof/>
      </w:rPr>
      <w:fldChar w:fldCharType="end"/>
    </w:r>
  </w:p>
  <w:p w:rsidR="00F15F61" w:rsidP="00F15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56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5616">
      <w:t>Manufacturing Industry Skills Alliance</w:t>
    </w:r>
    <w:r w:rsidR="00045616">
      <w:fldChar w:fldCharType="end"/>
    </w:r>
  </w:p>
  <w:p w:rsidR="00F15F61" w:rsidP="00F15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F61" w:rsidRPr="00045616" w:rsidP="00045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16" w:rsidRPr="002D2AF8" w:rsidP="00F15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MSL975047 Apply complex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5616" w:rsidP="00F15F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F61" w:rsidRPr="002D2AF8" w:rsidP="00F15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5616">
      <w:t>MSL975047 Apply complex instrumental techniques</w:t>
    </w:r>
    <w:r w:rsidR="000456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5616">
      <w:rPr>
        <w:noProof/>
      </w:rPr>
      <w:t>2 March 2025</w:t>
    </w:r>
    <w:r>
      <w:fldChar w:fldCharType="end"/>
    </w:r>
  </w:p>
  <w:p w:rsidR="00F15F61" w:rsidP="00F15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BEA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927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A6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F61"/>
  </w:style>
  <w:style w:type="character" w:customStyle="1" w:styleId="Heading1Char">
    <w:name w:val="Heading 1 Char"/>
    <w:basedOn w:val="DefaultParagraphFont"/>
    <w:link w:val="Heading1"/>
    <w:rsid w:val="00F15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F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F61"/>
    <w:rPr>
      <w:b/>
      <w:spacing w:val="0"/>
    </w:rPr>
  </w:style>
  <w:style w:type="paragraph" w:styleId="ListBullet2">
    <w:name w:val="List Bullet 2"/>
    <w:basedOn w:val="List2"/>
    <w:rsid w:val="00F15F6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5F61"/>
    <w:rPr>
      <w:i/>
    </w:rPr>
  </w:style>
  <w:style w:type="paragraph" w:customStyle="1" w:styleId="SuperHeading">
    <w:name w:val="SuperHeading"/>
    <w:basedOn w:val="Normal"/>
    <w:rsid w:val="00F15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5F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5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F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F61"/>
  </w:style>
  <w:style w:type="paragraph" w:styleId="TableofFigures">
    <w:name w:val="table of figures"/>
    <w:basedOn w:val="Normal"/>
    <w:next w:val="Normal"/>
    <w:semiHidden/>
    <w:rsid w:val="00F15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F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5F61"/>
    <w:rPr>
      <w:rFonts w:ascii="Wingdings" w:hAnsi="Wingdings"/>
    </w:rPr>
  </w:style>
  <w:style w:type="paragraph" w:customStyle="1" w:styleId="TableHeading">
    <w:name w:val="Table Heading"/>
    <w:basedOn w:val="HeadingBase"/>
    <w:rsid w:val="00F15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F61"/>
    <w:rPr>
      <w:color w:val="0033CC"/>
      <w:u w:val="none"/>
    </w:rPr>
  </w:style>
  <w:style w:type="paragraph" w:customStyle="1" w:styleId="BodyTextRight">
    <w:name w:val="Body Text Right"/>
    <w:basedOn w:val="BodyText"/>
    <w:rsid w:val="00F15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F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F61"/>
    <w:rPr>
      <w:sz w:val="32"/>
    </w:rPr>
  </w:style>
  <w:style w:type="paragraph" w:customStyle="1" w:styleId="HeadingProcedure">
    <w:name w:val="Heading Procedure"/>
    <w:basedOn w:val="HeadingBase"/>
    <w:next w:val="Normal"/>
    <w:rsid w:val="00F15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F61"/>
    <w:pPr>
      <w:spacing w:before="60" w:after="60"/>
    </w:pPr>
  </w:style>
  <w:style w:type="paragraph" w:styleId="ListContinue">
    <w:name w:val="List Continue"/>
    <w:basedOn w:val="List"/>
    <w:rsid w:val="00F15F61"/>
    <w:pPr>
      <w:ind w:firstLine="0"/>
    </w:pPr>
  </w:style>
  <w:style w:type="paragraph" w:customStyle="1" w:styleId="ListNote">
    <w:name w:val="List Note"/>
    <w:basedOn w:val="List"/>
    <w:rsid w:val="00F15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F61"/>
    <w:rPr>
      <w:rFonts w:ascii="Courier New" w:hAnsi="Courier New"/>
    </w:rPr>
  </w:style>
  <w:style w:type="paragraph" w:customStyle="1" w:styleId="NoteBullet">
    <w:name w:val="Note Bullet"/>
    <w:basedOn w:val="Note"/>
    <w:rsid w:val="00F15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F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5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F61"/>
    <w:rPr>
      <w:b/>
      <w:smallCaps/>
    </w:rPr>
  </w:style>
  <w:style w:type="paragraph" w:customStyle="1" w:styleId="TableListNumber">
    <w:name w:val="Table List Number"/>
    <w:basedOn w:val="ListNumber"/>
    <w:rsid w:val="00F15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F61"/>
    <w:pPr>
      <w:numPr>
        <w:numId w:val="10"/>
      </w:numPr>
    </w:pPr>
  </w:style>
  <w:style w:type="paragraph" w:customStyle="1" w:styleId="ListAlpha2">
    <w:name w:val="List Alpha 2"/>
    <w:basedOn w:val="List2"/>
    <w:rsid w:val="00F15F61"/>
    <w:pPr>
      <w:numPr>
        <w:numId w:val="9"/>
      </w:numPr>
    </w:pPr>
  </w:style>
  <w:style w:type="paragraph" w:styleId="List2">
    <w:name w:val="List 2"/>
    <w:basedOn w:val="BodyText"/>
    <w:rsid w:val="00F15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F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5F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5F61"/>
    <w:pPr>
      <w:numPr>
        <w:numId w:val="5"/>
      </w:numPr>
    </w:pPr>
  </w:style>
  <w:style w:type="paragraph" w:styleId="ListContinue2">
    <w:name w:val="List Continue 2"/>
    <w:basedOn w:val="List2"/>
    <w:rsid w:val="00F15F61"/>
    <w:pPr>
      <w:ind w:firstLine="0"/>
    </w:pPr>
  </w:style>
  <w:style w:type="paragraph" w:styleId="ListContinue3">
    <w:name w:val="List Continue 3"/>
    <w:basedOn w:val="List3"/>
    <w:rsid w:val="00F15F61"/>
    <w:pPr>
      <w:ind w:left="1021" w:firstLine="0"/>
    </w:pPr>
  </w:style>
  <w:style w:type="paragraph" w:styleId="ListContinue4">
    <w:name w:val="List Continue 4"/>
    <w:basedOn w:val="List4"/>
    <w:rsid w:val="00F15F61"/>
    <w:pPr>
      <w:ind w:firstLine="0"/>
    </w:pPr>
  </w:style>
  <w:style w:type="paragraph" w:styleId="ListContinue5">
    <w:name w:val="List Continue 5"/>
    <w:basedOn w:val="List5"/>
    <w:rsid w:val="00F15F61"/>
    <w:pPr>
      <w:ind w:firstLine="0"/>
    </w:pPr>
  </w:style>
  <w:style w:type="paragraph" w:styleId="ListNumber3">
    <w:name w:val="List Number 3"/>
    <w:basedOn w:val="List3"/>
    <w:rsid w:val="00F15F61"/>
    <w:pPr>
      <w:numPr>
        <w:numId w:val="6"/>
      </w:numPr>
    </w:pPr>
  </w:style>
  <w:style w:type="paragraph" w:styleId="ListNumber4">
    <w:name w:val="List Number 4"/>
    <w:basedOn w:val="List4"/>
    <w:rsid w:val="00F15F61"/>
    <w:pPr>
      <w:numPr>
        <w:numId w:val="7"/>
      </w:numPr>
    </w:pPr>
  </w:style>
  <w:style w:type="paragraph" w:styleId="ListNumber5">
    <w:name w:val="List Number 5"/>
    <w:basedOn w:val="List5"/>
    <w:rsid w:val="00F15F61"/>
    <w:pPr>
      <w:numPr>
        <w:numId w:val="8"/>
      </w:numPr>
    </w:pPr>
  </w:style>
  <w:style w:type="paragraph" w:styleId="BlockText">
    <w:name w:val="Block Text"/>
    <w:basedOn w:val="Normal"/>
    <w:rsid w:val="00F15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F61"/>
    <w:rPr>
      <w:sz w:val="16"/>
      <w:vertAlign w:val="superscript"/>
    </w:rPr>
  </w:style>
  <w:style w:type="character" w:customStyle="1" w:styleId="Symbols">
    <w:name w:val="Symbols"/>
    <w:basedOn w:val="DefaultParagraphFont"/>
    <w:rsid w:val="00F15F61"/>
    <w:rPr>
      <w:rFonts w:ascii="Symbol" w:hAnsi="Symbol"/>
    </w:rPr>
  </w:style>
  <w:style w:type="character" w:customStyle="1" w:styleId="MenuOptions">
    <w:name w:val="Menu Options"/>
    <w:basedOn w:val="DefaultParagraphFont"/>
    <w:rsid w:val="00F15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F61"/>
    <w:rPr>
      <w:b/>
    </w:rPr>
  </w:style>
  <w:style w:type="character" w:customStyle="1" w:styleId="Underlined">
    <w:name w:val="Underlined"/>
    <w:basedOn w:val="DefaultParagraphFont"/>
    <w:rsid w:val="00F15F61"/>
    <w:rPr>
      <w:u w:val="single"/>
    </w:rPr>
  </w:style>
  <w:style w:type="paragraph" w:customStyle="1" w:styleId="TableBodyTextRight">
    <w:name w:val="Table Body Text Right"/>
    <w:basedOn w:val="TableBodyText"/>
    <w:rsid w:val="00F15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F61"/>
    <w:rPr>
      <w:sz w:val="18"/>
    </w:rPr>
  </w:style>
  <w:style w:type="paragraph" w:customStyle="1" w:styleId="BodySmallRight">
    <w:name w:val="Body Small Right"/>
    <w:basedOn w:val="BodyTextRight"/>
    <w:rsid w:val="00F15F61"/>
    <w:rPr>
      <w:sz w:val="18"/>
      <w:szCs w:val="18"/>
    </w:rPr>
  </w:style>
  <w:style w:type="paragraph" w:customStyle="1" w:styleId="MarginEdition">
    <w:name w:val="Margin Edition"/>
    <w:basedOn w:val="MarginNote"/>
    <w:rsid w:val="00F15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F61"/>
    <w:rPr>
      <w:sz w:val="2"/>
      <w:szCs w:val="2"/>
    </w:rPr>
  </w:style>
  <w:style w:type="character" w:customStyle="1" w:styleId="Small">
    <w:name w:val="Small"/>
    <w:basedOn w:val="DefaultParagraphFont"/>
    <w:rsid w:val="00F15F61"/>
    <w:rPr>
      <w:sz w:val="16"/>
    </w:rPr>
  </w:style>
  <w:style w:type="paragraph" w:customStyle="1" w:styleId="WideTable">
    <w:name w:val="Wide Table"/>
    <w:basedOn w:val="Normal"/>
    <w:rsid w:val="00F15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F61"/>
  </w:style>
  <w:style w:type="paragraph" w:styleId="Quote">
    <w:name w:val="Quote"/>
    <w:basedOn w:val="Heading1"/>
    <w:link w:val="QuoteChar"/>
    <w:qFormat/>
    <w:rsid w:val="00F15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F61"/>
    <w:pPr>
      <w:pageBreakBefore/>
    </w:pPr>
  </w:style>
  <w:style w:type="paragraph" w:customStyle="1" w:styleId="Border">
    <w:name w:val="Border"/>
    <w:basedOn w:val="Normal"/>
    <w:qFormat/>
    <w:rsid w:val="00F15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F61"/>
    <w:rPr>
      <w:u w:val="single"/>
    </w:rPr>
  </w:style>
  <w:style w:type="character" w:customStyle="1" w:styleId="BoldandItalics">
    <w:name w:val="Bold and Italics"/>
    <w:qFormat/>
    <w:rsid w:val="00F15F61"/>
    <w:rPr>
      <w:b/>
      <w:i/>
      <w:u w:val="none"/>
    </w:rPr>
  </w:style>
  <w:style w:type="paragraph" w:styleId="BalloonText">
    <w:name w:val="Balloon Text"/>
    <w:basedOn w:val="Normal"/>
    <w:link w:val="BalloonTextChar"/>
    <w:rsid w:val="00F15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F61"/>
    <w:pPr>
      <w:spacing w:before="0" w:after="0"/>
    </w:pPr>
  </w:style>
  <w:style w:type="paragraph" w:customStyle="1" w:styleId="BodyTextBold">
    <w:name w:val="Body Text Bold"/>
    <w:basedOn w:val="BodyText"/>
    <w:qFormat/>
    <w:rsid w:val="00F15F61"/>
    <w:rPr>
      <w:b/>
    </w:rPr>
  </w:style>
  <w:style w:type="character" w:styleId="Hyperlink">
    <w:name w:val="Hyperlink"/>
    <w:basedOn w:val="DefaultParagraphFont"/>
    <w:uiPriority w:val="99"/>
    <w:unhideWhenUsed/>
    <w:rsid w:val="00045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7247</Characters>
  <Application>Microsoft Office Word</Application>
  <DocSecurity>0</DocSecurity>
  <Lines>301</Lines>
  <Paragraphs>162</Paragraphs>
  <ScaleCrop>false</ScaleCrop>
  <Company>Author-it Software Corporation Ltd.</Company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MSL975047 Apply complex instrumental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