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CAE" w:rsidP="00127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MSL975041 Perform fire assay techniques</w:t>
      </w:r>
      <w:r>
        <w:fldChar w:fldCharType="end"/>
      </w:r>
    </w:p>
    <w:p w:rsidR="00127CAE" w:rsidP="00127CAE">
      <w:pPr>
        <w:pStyle w:val="Version"/>
        <w:sectPr w:rsidSect="00272F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F20" w:rsidP="00272F20">
      <w:pPr>
        <w:pStyle w:val="SuperHeading"/>
      </w:pPr>
      <w:r w:rsidRPr="00272F20">
        <w:t>MSL975041 Perform fire assay techniques</w:t>
      </w:r>
    </w:p>
    <w:p w:rsidR="00000000" w:rsidRPr="00272F20" w:rsidP="00272F20">
      <w:pPr>
        <w:pStyle w:val="Heading1"/>
      </w:pPr>
      <w:bookmarkStart w:id="1" w:name="O_986790"/>
      <w:bookmarkEnd w:id="1"/>
      <w:r w:rsidRPr="00272F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2F20" w:rsidP="00272F20">
            <w:pPr>
              <w:pStyle w:val="BodyText"/>
            </w:pPr>
            <w:r w:rsidRPr="00272F2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rPr>
                <w:rStyle w:val="SpecialBold"/>
              </w:rPr>
              <w:t>Comments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F20" w:rsidP="00272F20">
            <w:pPr>
              <w:pStyle w:val="BodyText"/>
            </w:pPr>
            <w:r w:rsidRPr="00272F20">
              <w:t xml:space="preserve">This version was released in </w:t>
            </w:r>
            <w:r w:rsidRPr="00272F20">
              <w:rPr>
                <w:rStyle w:val="Emphasis"/>
              </w:rPr>
              <w:t>MSL Laboratory Operations Training Package Release 2.0.</w:t>
            </w:r>
          </w:p>
          <w:p w:rsidR="00000000" w:rsidRPr="00272F20" w:rsidP="00272F20">
            <w:pPr>
              <w:pStyle w:val="BodyText"/>
            </w:pPr>
            <w:r w:rsidRPr="00272F20">
              <w:t>Supersedes and equivalent to MSL975010 Perform fire assay techniques. Conditional/optional prerequisite removed – code ret</w:t>
            </w:r>
            <w:r w:rsidRPr="00272F20">
              <w:t>ained. Foundation skill information added. Range of conditions removed. Assessment requirements amended.</w:t>
            </w:r>
          </w:p>
        </w:tc>
      </w:tr>
    </w:tbl>
    <w:p w:rsidR="00000000" w:rsidRPr="00272F20" w:rsidP="00272F20">
      <w:pPr>
        <w:pStyle w:val="BodyText"/>
      </w:pPr>
    </w:p>
    <w:p w:rsidR="00000000" w:rsidRPr="00272F20" w:rsidP="00272F20">
      <w:pPr>
        <w:pStyle w:val="AllowPageBreak"/>
      </w:pPr>
    </w:p>
    <w:p w:rsidR="00000000" w:rsidRPr="00272F20" w:rsidP="00272F20">
      <w:pPr>
        <w:pStyle w:val="Heading1"/>
      </w:pPr>
      <w:bookmarkStart w:id="2" w:name="O_986796"/>
      <w:bookmarkEnd w:id="2"/>
      <w:r w:rsidRPr="00272F20">
        <w:t>Application</w:t>
      </w:r>
    </w:p>
    <w:p w:rsidR="00000000" w:rsidRPr="00272F20" w:rsidP="00127CAE">
      <w:pPr>
        <w:pStyle w:val="BodyText"/>
      </w:pPr>
      <w:r w:rsidRPr="00272F20">
        <w:t xml:space="preserve">This unit of competency describes the skills and knowledge to safely extract a range of precious metals from their host </w:t>
      </w:r>
      <w:r w:rsidRPr="00272F20">
        <w:t>matrices in readiness for analysis. The unit also covers the ability to select and/or modify laboratory methods to suit particular ores and to ensure total recovery.</w:t>
      </w:r>
    </w:p>
    <w:p w:rsidR="00000000" w:rsidRPr="00272F20" w:rsidP="00127CAE">
      <w:pPr>
        <w:pStyle w:val="BodyText"/>
      </w:pPr>
      <w:r w:rsidRPr="00272F20">
        <w:t>This unit applies to laboratory personnel working in the mineral assay industry sector.</w:t>
      </w:r>
    </w:p>
    <w:p w:rsidR="00000000" w:rsidRPr="00272F20" w:rsidP="00127CAE">
      <w:pPr>
        <w:pStyle w:val="BodyText"/>
      </w:pPr>
      <w:r w:rsidRPr="00272F20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272F20">
        <w:t>and codes of practice within Australia must also be applied.</w:t>
      </w:r>
    </w:p>
    <w:p w:rsidR="00000000" w:rsidRPr="00272F20" w:rsidP="00272F20">
      <w:pPr>
        <w:pStyle w:val="Heading1"/>
      </w:pPr>
      <w:bookmarkStart w:id="3" w:name="O_986795"/>
      <w:bookmarkEnd w:id="3"/>
      <w:r w:rsidRPr="00272F20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9"/>
        <w:gridCol w:w="6887"/>
      </w:tblGrid>
      <w:tr w:rsidTr="00127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MSL973023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F20" w:rsidP="00272F20">
            <w:pPr>
              <w:pStyle w:val="BodyText"/>
            </w:pPr>
            <w:r w:rsidRPr="00272F20">
              <w:t>Perform fire pouring techniques</w:t>
            </w:r>
          </w:p>
        </w:tc>
      </w:tr>
    </w:tbl>
    <w:p w:rsidR="00000000" w:rsidRPr="00272F20" w:rsidP="00272F20">
      <w:pPr>
        <w:pStyle w:val="BodyText"/>
      </w:pPr>
    </w:p>
    <w:p w:rsidR="00000000" w:rsidRPr="00272F20" w:rsidP="00272F20">
      <w:pPr>
        <w:pStyle w:val="AllowPageBreak"/>
      </w:pPr>
    </w:p>
    <w:p w:rsidR="00000000" w:rsidRPr="00272F20" w:rsidP="00272F20">
      <w:pPr>
        <w:pStyle w:val="Heading1"/>
      </w:pPr>
      <w:bookmarkStart w:id="4" w:name="O_986794"/>
      <w:bookmarkEnd w:id="4"/>
      <w:r w:rsidRPr="00272F20">
        <w:t>Competency Field</w:t>
      </w:r>
    </w:p>
    <w:p w:rsidR="00000000" w:rsidRPr="00272F20" w:rsidP="00127CAE">
      <w:pPr>
        <w:pStyle w:val="BodyText"/>
      </w:pPr>
      <w:r w:rsidRPr="00272F20">
        <w:t>Testing</w:t>
      </w:r>
    </w:p>
    <w:p w:rsidR="00000000" w:rsidRPr="00272F20" w:rsidP="00272F20">
      <w:pPr>
        <w:pStyle w:val="Heading1"/>
      </w:pPr>
      <w:bookmarkStart w:id="5" w:name="O_986793"/>
      <w:bookmarkEnd w:id="5"/>
      <w:r w:rsidRPr="00272F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Performance criteria describe the performance needed to demonstrate achievement of the element.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F20" w:rsidP="00272F20">
            <w:pPr>
              <w:pStyle w:val="BodyText"/>
            </w:pPr>
            <w:r w:rsidRPr="00272F2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rPr>
                <w:rStyle w:val="SpecialBold"/>
              </w:rPr>
              <w:t>Classify ore samples and select fluxing method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Review client request to identify sample/analysis requirements, preparation methods and equipment involved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Inspect samples, compare with specifications, record and report any discrepancies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Conduct visual and simple chemical tests to identify the type of sample and sulphide concentrations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Review client sample/analysis history and identify possible chemical interferences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Decide whether non-standard fluxing is required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Sele</w:t>
            </w:r>
            <w:r w:rsidRPr="00272F20">
              <w:t>ct sample weight and flux to optimise precious metal recovery and purity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F20" w:rsidP="00272F20">
            <w:pPr>
              <w:pStyle w:val="BodyText"/>
            </w:pPr>
            <w:r w:rsidRPr="00272F2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rPr>
                <w:rStyle w:val="SpecialBold"/>
              </w:rPr>
              <w:t>Prepare for precious metal recovery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Identify hazards and workplace safety procedures associated with the sample, preparation methods, reagents and equipment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Examine the recommended preparation method to identify the critical steps that will affect the quality of analytical results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Plan parallel work sequences to optimise the throughput of multiple sets of samples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Assemble all required equipment, materials, reagents and check they are fit for purpose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F20" w:rsidP="00272F20">
            <w:pPr>
              <w:pStyle w:val="BodyText"/>
            </w:pPr>
            <w:r w:rsidRPr="00272F2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rPr>
                <w:rStyle w:val="SpecialBold"/>
              </w:rPr>
              <w:t>Recover precious metals from ore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Weigh required amounts of sample and flux components to achieve an acceptable button and fluid slag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 xml:space="preserve">Select the type and size of pot to suit sample method and client requirements 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Mix charge to ensure homogeneity and optimal collection of precious metal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Set and monitor furnace temperature/time to ensure complete fusion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Separate slag and button with minimal loss of lead collector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Maintain sequencing in order to track samples, buttons and prills throughout the recovery process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Separate lead collector from the required precious metal and check for contaminatio</w:t>
            </w:r>
            <w:r w:rsidRPr="00272F20">
              <w:t xml:space="preserve">n, losses and evidence of other precious metals 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Minimise personal exposure to hazards and the release of collectors to the work environment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Collate laboratory documentation and the prepared sample and present for analysis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F20" w:rsidP="00272F20">
            <w:pPr>
              <w:pStyle w:val="BodyText"/>
            </w:pPr>
            <w:r w:rsidRPr="00272F2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rPr>
                <w:rStyle w:val="SpecialBold"/>
              </w:rPr>
              <w:t>Troubleshoot and correct failed recovery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Monitor all stages of recovery for indicators of potential loss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 xml:space="preserve">Recognise undesirable recovery conditions and decide whether the process requires correction 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Choose an appropriate corrective action and re-start the process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Document any adjustments made to standard methods and re-sequencing of samples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Seek advice when problems are beyond scope of responsibility or knowledge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F20" w:rsidP="00272F20">
            <w:pPr>
              <w:pStyle w:val="BodyText"/>
            </w:pPr>
            <w:r w:rsidRPr="00272F2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rPr>
                <w:rStyle w:val="SpecialBold"/>
              </w:rPr>
              <w:t>Perform daily maintenance of assay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Segregate and dispose of waste in accordance with workplace requirements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Grade and inspect pots using established criteria prior to storage for re-use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Inspect furnaces for cracks, unserviceable components and remove slag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 xml:space="preserve">Inspect and clean extractive systems </w:t>
            </w:r>
          </w:p>
        </w:tc>
      </w:tr>
      <w:tr w:rsidTr="00272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F20">
            <w:pPr>
              <w:pStyle w:val="BodyText"/>
              <w:rPr>
                <w:lang w:val="en-NZ"/>
              </w:rPr>
            </w:pPr>
            <w:r w:rsidRPr="00272F2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F20" w:rsidP="00272F20">
            <w:pPr>
              <w:pStyle w:val="BodyText"/>
            </w:pPr>
            <w:r w:rsidRPr="00272F20">
              <w:t>Report defective equipment and consumable requirements to appropriate personnel</w:t>
            </w:r>
          </w:p>
        </w:tc>
      </w:tr>
    </w:tbl>
    <w:p w:rsidR="00000000" w:rsidRPr="00272F20" w:rsidP="00272F20">
      <w:pPr>
        <w:pStyle w:val="BodyText"/>
      </w:pPr>
    </w:p>
    <w:p w:rsidR="00000000" w:rsidRPr="00272F20" w:rsidP="00272F20">
      <w:pPr>
        <w:pStyle w:val="AllowPageBreak"/>
      </w:pPr>
    </w:p>
    <w:p w:rsidR="00000000" w:rsidRPr="00272F20" w:rsidP="00272F20">
      <w:pPr>
        <w:pStyle w:val="Heading1"/>
      </w:pPr>
      <w:bookmarkStart w:id="6" w:name="O_986792"/>
      <w:bookmarkEnd w:id="6"/>
      <w:r w:rsidRPr="00272F20">
        <w:t>Foundation Skills</w:t>
      </w:r>
    </w:p>
    <w:p w:rsidR="00000000" w:rsidRPr="00272F20" w:rsidP="00127CAE">
      <w:pPr>
        <w:pStyle w:val="BodyText"/>
      </w:pPr>
      <w:r w:rsidRPr="00272F20">
        <w:t>This section describes those language, literacy, numeracy and employment skills that are essential to performance.</w:t>
      </w:r>
    </w:p>
    <w:p w:rsidR="00000000" w:rsidRPr="00272F20" w:rsidP="00272F20">
      <w:pPr>
        <w:pStyle w:val="ListBullet"/>
      </w:pPr>
      <w:r w:rsidRPr="00272F20">
        <w:t>Problem solving skills to:</w:t>
      </w:r>
    </w:p>
    <w:p w:rsidR="00000000" w:rsidRPr="00272F20" w:rsidP="00272F20">
      <w:pPr>
        <w:pStyle w:val="ListBullet2"/>
      </w:pPr>
      <w:r w:rsidRPr="00272F20">
        <w:t>identify indicators of poor recovery and contamination</w:t>
      </w:r>
    </w:p>
    <w:p w:rsidR="00000000" w:rsidRPr="00272F20" w:rsidP="00272F20">
      <w:pPr>
        <w:pStyle w:val="ListBullet2"/>
      </w:pPr>
      <w:r w:rsidRPr="00272F20">
        <w:t>apply knowledge of mineral chemistry and fire assay techniques to solve recovery and contamination problems.</w:t>
      </w:r>
    </w:p>
    <w:p w:rsidR="00000000" w:rsidRPr="00272F20" w:rsidP="00127CAE">
      <w:pPr>
        <w:pStyle w:val="BodyText"/>
      </w:pPr>
      <w:r w:rsidRPr="00272F20">
        <w:t>Other foundation skills essential to performance are explicit in the performance criteria of this unit.</w:t>
      </w:r>
    </w:p>
    <w:p w:rsidR="00000000" w:rsidRPr="00272F20" w:rsidP="00272F20">
      <w:pPr>
        <w:pStyle w:val="Heading1"/>
      </w:pPr>
      <w:bookmarkStart w:id="7" w:name="O_986791"/>
      <w:bookmarkEnd w:id="7"/>
      <w:r w:rsidRPr="00272F20">
        <w:t>Unit Mapping Information</w:t>
      </w:r>
    </w:p>
    <w:p w:rsidR="00000000" w:rsidRPr="00272F20" w:rsidP="00127CAE">
      <w:pPr>
        <w:pStyle w:val="BodyText"/>
      </w:pPr>
      <w:r w:rsidRPr="00272F20">
        <w:t>E</w:t>
      </w:r>
      <w:r w:rsidRPr="00272F20">
        <w:t>quivalent to MSL975010 Perform fire assay techniques, Release 1.</w:t>
      </w:r>
    </w:p>
    <w:p w:rsidR="00000000" w:rsidRPr="00272F20" w:rsidP="00272F20">
      <w:pPr>
        <w:pStyle w:val="Heading1"/>
      </w:pPr>
      <w:bookmarkStart w:id="8" w:name="O_986784"/>
      <w:bookmarkEnd w:id="8"/>
      <w:r w:rsidRPr="00272F20">
        <w:t>Links</w:t>
      </w:r>
    </w:p>
    <w:p w:rsidR="00000000" w:rsidRPr="00272F20" w:rsidP="00127CAE">
      <w:pPr>
        <w:pStyle w:val="BodyText"/>
      </w:pPr>
      <w:r w:rsidRPr="00272F20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F54A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72F20" w:rsidP="00272F20"/>
    <w:sectPr w:rsidSect="00272F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20" w:rsidRPr="00127CAE" w:rsidP="00127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AE" w:rsidP="00272F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CAE" w:rsidP="00272F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7CAE" w:rsidP="00272F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F20" w:rsidRPr="00127CAE" w:rsidP="00127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AE" w:rsidRPr="002D2AF8" w:rsidP="00272F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MSL975041 Perform fire assay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27CAE" w:rsidP="00272F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E60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2C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02D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F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F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F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F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F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F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F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F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F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F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F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F20"/>
  </w:style>
  <w:style w:type="character" w:customStyle="1" w:styleId="Heading1Char">
    <w:name w:val="Heading 1 Char"/>
    <w:basedOn w:val="DefaultParagraphFont"/>
    <w:link w:val="Heading1"/>
    <w:rsid w:val="00272F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F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F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F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F20"/>
    <w:rPr>
      <w:b/>
      <w:spacing w:val="0"/>
    </w:rPr>
  </w:style>
  <w:style w:type="paragraph" w:styleId="ListBullet2">
    <w:name w:val="List Bullet 2"/>
    <w:basedOn w:val="List2"/>
    <w:rsid w:val="00272F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2F20"/>
    <w:rPr>
      <w:i/>
    </w:rPr>
  </w:style>
  <w:style w:type="paragraph" w:customStyle="1" w:styleId="SuperHeading">
    <w:name w:val="SuperHeading"/>
    <w:basedOn w:val="Normal"/>
    <w:rsid w:val="00272F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F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F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F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F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F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F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F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F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F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F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F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F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F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F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F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F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F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F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F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F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F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F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F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F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F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F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F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F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F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F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F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F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F20"/>
  </w:style>
  <w:style w:type="paragraph" w:styleId="TableofFigures">
    <w:name w:val="table of figures"/>
    <w:basedOn w:val="Normal"/>
    <w:next w:val="Normal"/>
    <w:semiHidden/>
    <w:rsid w:val="00272F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F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F20"/>
    <w:rPr>
      <w:rFonts w:ascii="Wingdings" w:hAnsi="Wingdings"/>
    </w:rPr>
  </w:style>
  <w:style w:type="paragraph" w:customStyle="1" w:styleId="TableHeading">
    <w:name w:val="Table Heading"/>
    <w:basedOn w:val="HeadingBase"/>
    <w:rsid w:val="00272F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F20"/>
    <w:rPr>
      <w:color w:val="0033CC"/>
      <w:u w:val="none"/>
    </w:rPr>
  </w:style>
  <w:style w:type="paragraph" w:customStyle="1" w:styleId="BodyTextRight">
    <w:name w:val="Body Text Right"/>
    <w:basedOn w:val="BodyText"/>
    <w:rsid w:val="00272F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F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F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F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F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F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F20"/>
    <w:rPr>
      <w:sz w:val="32"/>
    </w:rPr>
  </w:style>
  <w:style w:type="paragraph" w:customStyle="1" w:styleId="HeadingProcedure">
    <w:name w:val="Heading Procedure"/>
    <w:basedOn w:val="HeadingBase"/>
    <w:next w:val="Normal"/>
    <w:rsid w:val="00272F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F20"/>
    <w:pPr>
      <w:spacing w:before="60" w:after="60"/>
    </w:pPr>
  </w:style>
  <w:style w:type="paragraph" w:styleId="ListContinue">
    <w:name w:val="List Continue"/>
    <w:basedOn w:val="List"/>
    <w:rsid w:val="00272F20"/>
    <w:pPr>
      <w:ind w:firstLine="0"/>
    </w:pPr>
  </w:style>
  <w:style w:type="paragraph" w:customStyle="1" w:styleId="ListNote">
    <w:name w:val="List Note"/>
    <w:basedOn w:val="List"/>
    <w:rsid w:val="00272F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F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F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F20"/>
    <w:rPr>
      <w:rFonts w:ascii="Courier New" w:hAnsi="Courier New"/>
    </w:rPr>
  </w:style>
  <w:style w:type="paragraph" w:customStyle="1" w:styleId="NoteBullet">
    <w:name w:val="Note Bullet"/>
    <w:basedOn w:val="Note"/>
    <w:rsid w:val="00272F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F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F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F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F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F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F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F20"/>
    <w:rPr>
      <w:b/>
      <w:smallCaps/>
    </w:rPr>
  </w:style>
  <w:style w:type="paragraph" w:customStyle="1" w:styleId="TableListNumber">
    <w:name w:val="Table List Number"/>
    <w:basedOn w:val="ListNumber"/>
    <w:rsid w:val="00272F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F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F20"/>
    <w:pPr>
      <w:numPr>
        <w:numId w:val="9"/>
      </w:numPr>
    </w:pPr>
  </w:style>
  <w:style w:type="paragraph" w:customStyle="1" w:styleId="ListAlpha2">
    <w:name w:val="List Alpha 2"/>
    <w:basedOn w:val="List2"/>
    <w:rsid w:val="00272F20"/>
    <w:pPr>
      <w:numPr>
        <w:numId w:val="8"/>
      </w:numPr>
    </w:pPr>
  </w:style>
  <w:style w:type="paragraph" w:styleId="List2">
    <w:name w:val="List 2"/>
    <w:basedOn w:val="BodyText"/>
    <w:rsid w:val="00272F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F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F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F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F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F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F20"/>
    <w:pPr>
      <w:numPr>
        <w:numId w:val="4"/>
      </w:numPr>
    </w:pPr>
  </w:style>
  <w:style w:type="paragraph" w:styleId="ListContinue2">
    <w:name w:val="List Continue 2"/>
    <w:basedOn w:val="List2"/>
    <w:rsid w:val="00272F20"/>
    <w:pPr>
      <w:ind w:firstLine="0"/>
    </w:pPr>
  </w:style>
  <w:style w:type="paragraph" w:styleId="ListContinue3">
    <w:name w:val="List Continue 3"/>
    <w:basedOn w:val="List3"/>
    <w:rsid w:val="00272F20"/>
    <w:pPr>
      <w:ind w:left="1021" w:firstLine="0"/>
    </w:pPr>
  </w:style>
  <w:style w:type="paragraph" w:styleId="ListContinue4">
    <w:name w:val="List Continue 4"/>
    <w:basedOn w:val="List4"/>
    <w:rsid w:val="00272F20"/>
    <w:pPr>
      <w:ind w:firstLine="0"/>
    </w:pPr>
  </w:style>
  <w:style w:type="paragraph" w:styleId="ListContinue5">
    <w:name w:val="List Continue 5"/>
    <w:basedOn w:val="List5"/>
    <w:rsid w:val="00272F20"/>
    <w:pPr>
      <w:ind w:firstLine="0"/>
    </w:pPr>
  </w:style>
  <w:style w:type="paragraph" w:styleId="ListNumber3">
    <w:name w:val="List Number 3"/>
    <w:basedOn w:val="List3"/>
    <w:rsid w:val="00272F20"/>
    <w:pPr>
      <w:numPr>
        <w:numId w:val="5"/>
      </w:numPr>
    </w:pPr>
  </w:style>
  <w:style w:type="paragraph" w:styleId="ListNumber4">
    <w:name w:val="List Number 4"/>
    <w:basedOn w:val="List4"/>
    <w:rsid w:val="00272F20"/>
    <w:pPr>
      <w:numPr>
        <w:numId w:val="6"/>
      </w:numPr>
    </w:pPr>
  </w:style>
  <w:style w:type="paragraph" w:styleId="ListNumber5">
    <w:name w:val="List Number 5"/>
    <w:basedOn w:val="List5"/>
    <w:rsid w:val="00272F20"/>
    <w:pPr>
      <w:numPr>
        <w:numId w:val="7"/>
      </w:numPr>
    </w:pPr>
  </w:style>
  <w:style w:type="paragraph" w:styleId="BlockText">
    <w:name w:val="Block Text"/>
    <w:basedOn w:val="Normal"/>
    <w:rsid w:val="00272F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F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F20"/>
    <w:rPr>
      <w:sz w:val="16"/>
      <w:vertAlign w:val="superscript"/>
    </w:rPr>
  </w:style>
  <w:style w:type="character" w:customStyle="1" w:styleId="Symbols">
    <w:name w:val="Symbols"/>
    <w:basedOn w:val="DefaultParagraphFont"/>
    <w:rsid w:val="00272F20"/>
    <w:rPr>
      <w:rFonts w:ascii="Symbol" w:hAnsi="Symbol"/>
    </w:rPr>
  </w:style>
  <w:style w:type="character" w:customStyle="1" w:styleId="MenuOptions">
    <w:name w:val="Menu Options"/>
    <w:basedOn w:val="DefaultParagraphFont"/>
    <w:rsid w:val="00272F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F20"/>
    <w:rPr>
      <w:b/>
    </w:rPr>
  </w:style>
  <w:style w:type="character" w:customStyle="1" w:styleId="Underlined">
    <w:name w:val="Underlined"/>
    <w:basedOn w:val="DefaultParagraphFont"/>
    <w:rsid w:val="00272F20"/>
    <w:rPr>
      <w:u w:val="single"/>
    </w:rPr>
  </w:style>
  <w:style w:type="paragraph" w:customStyle="1" w:styleId="TableBodyTextRight">
    <w:name w:val="Table Body Text Right"/>
    <w:basedOn w:val="TableBodyText"/>
    <w:rsid w:val="00272F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F20"/>
    <w:rPr>
      <w:sz w:val="18"/>
    </w:rPr>
  </w:style>
  <w:style w:type="paragraph" w:customStyle="1" w:styleId="BodySmallRight">
    <w:name w:val="Body Small Right"/>
    <w:basedOn w:val="BodyTextRight"/>
    <w:rsid w:val="00272F20"/>
    <w:rPr>
      <w:sz w:val="18"/>
      <w:szCs w:val="18"/>
    </w:rPr>
  </w:style>
  <w:style w:type="paragraph" w:customStyle="1" w:styleId="MarginEdition">
    <w:name w:val="Margin Edition"/>
    <w:basedOn w:val="MarginNote"/>
    <w:rsid w:val="00272F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F20"/>
    <w:rPr>
      <w:sz w:val="2"/>
      <w:szCs w:val="2"/>
    </w:rPr>
  </w:style>
  <w:style w:type="character" w:customStyle="1" w:styleId="Small">
    <w:name w:val="Small"/>
    <w:basedOn w:val="DefaultParagraphFont"/>
    <w:rsid w:val="00272F20"/>
    <w:rPr>
      <w:sz w:val="16"/>
    </w:rPr>
  </w:style>
  <w:style w:type="paragraph" w:customStyle="1" w:styleId="WideTable">
    <w:name w:val="Wide Table"/>
    <w:basedOn w:val="Normal"/>
    <w:rsid w:val="00272F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F20"/>
  </w:style>
  <w:style w:type="paragraph" w:styleId="Quote">
    <w:name w:val="Quote"/>
    <w:basedOn w:val="Heading1"/>
    <w:link w:val="QuoteChar"/>
    <w:qFormat/>
    <w:rsid w:val="00272F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F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F20"/>
    <w:pPr>
      <w:pageBreakBefore/>
    </w:pPr>
  </w:style>
  <w:style w:type="paragraph" w:customStyle="1" w:styleId="Border">
    <w:name w:val="Border"/>
    <w:basedOn w:val="Normal"/>
    <w:qFormat/>
    <w:rsid w:val="00272F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F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F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F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F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F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F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F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F20"/>
    <w:rPr>
      <w:u w:val="single"/>
    </w:rPr>
  </w:style>
  <w:style w:type="character" w:customStyle="1" w:styleId="BoldandItalics">
    <w:name w:val="Bold and Italics"/>
    <w:qFormat/>
    <w:rsid w:val="00272F20"/>
    <w:rPr>
      <w:b/>
      <w:i/>
      <w:u w:val="none"/>
    </w:rPr>
  </w:style>
  <w:style w:type="paragraph" w:styleId="BalloonText">
    <w:name w:val="Balloon Text"/>
    <w:basedOn w:val="Normal"/>
    <w:link w:val="BalloonTextChar"/>
    <w:rsid w:val="00272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F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F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F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F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F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F20"/>
    <w:pPr>
      <w:spacing w:before="0" w:after="0"/>
    </w:pPr>
  </w:style>
  <w:style w:type="paragraph" w:customStyle="1" w:styleId="BodyTextBold">
    <w:name w:val="Body Text Bold"/>
    <w:basedOn w:val="BodyText"/>
    <w:qFormat/>
    <w:rsid w:val="00272F20"/>
    <w:rPr>
      <w:b/>
    </w:rPr>
  </w:style>
  <w:style w:type="character" w:styleId="Hyperlink">
    <w:name w:val="Hyperlink"/>
    <w:basedOn w:val="DefaultParagraphFont"/>
    <w:uiPriority w:val="99"/>
    <w:unhideWhenUsed/>
    <w:rsid w:val="00127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4373</Characters>
  <Application>Microsoft Office Word</Application>
  <DocSecurity>0</DocSecurity>
  <Lines>242</Lines>
  <Paragraphs>120</Paragraphs>
  <ScaleCrop>false</ScaleCrop>
  <Company>Author-it Software Corporation Ltd.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MSL975041 Perform fire assay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