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6CDB" w:rsidP="00F36CDB">
      <w:pPr>
        <w:pStyle w:val="Title"/>
      </w:pPr>
      <w:r>
        <w:fldChar w:fldCharType="begin"/>
      </w:r>
      <w:r>
        <w:instrText xml:space="preserve"> TITLE   \* MERGEFORMAT </w:instrText>
      </w:r>
      <w:r>
        <w:fldChar w:fldCharType="separate"/>
      </w:r>
      <w:r>
        <w:t>MSL975030 Perform immunohaematological tests</w:t>
      </w:r>
      <w:r>
        <w:fldChar w:fldCharType="end"/>
      </w:r>
    </w:p>
    <w:p w:rsidR="00F36CDB" w:rsidP="00F36CDB">
      <w:pPr>
        <w:pStyle w:val="Version"/>
        <w:sectPr w:rsidSect="00571F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1F52" w:rsidP="00571F52">
      <w:pPr>
        <w:pStyle w:val="SuperHeading"/>
      </w:pPr>
      <w:r w:rsidRPr="00571F52">
        <w:t>MSL975030 Perform immunohaematological tests</w:t>
      </w:r>
    </w:p>
    <w:p w:rsidR="00000000" w:rsidRPr="00571F52" w:rsidP="00571F52">
      <w:pPr>
        <w:pStyle w:val="Heading1"/>
      </w:pPr>
      <w:bookmarkStart w:id="1" w:name="O_974739"/>
      <w:bookmarkEnd w:id="1"/>
      <w:r w:rsidRPr="00571F52">
        <w:t>Modification History</w:t>
      </w:r>
    </w:p>
    <w:tbl>
      <w:tblPr>
        <w:tblW w:w="0" w:type="auto"/>
        <w:tblLayout w:type="fixed"/>
        <w:tblCellMar>
          <w:left w:w="62" w:type="dxa"/>
          <w:right w:w="62" w:type="dxa"/>
        </w:tblCellMar>
        <w:tblLook w:val="0000"/>
      </w:tblPr>
      <w:tblGrid>
        <w:gridCol w:w="1931"/>
        <w:gridCol w:w="7203"/>
      </w:tblGrid>
      <w:tr w:rsidTr="00571F52">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1F52" w:rsidP="00571F52">
            <w:pPr>
              <w:pStyle w:val="BodyText"/>
            </w:pPr>
            <w:r w:rsidRPr="00571F52">
              <w:rPr>
                <w:rStyle w:val="SpecialBold"/>
              </w:rPr>
              <w:t>Release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F52">
            <w:pPr>
              <w:pStyle w:val="BodyText"/>
              <w:rPr>
                <w:lang w:val="en-NZ"/>
              </w:rPr>
            </w:pPr>
            <w:r w:rsidRPr="00571F52">
              <w:rPr>
                <w:rStyle w:val="SpecialBold"/>
              </w:rPr>
              <w:t>Comments</w:t>
            </w:r>
          </w:p>
        </w:tc>
      </w:tr>
      <w:tr w:rsidTr="00571F52">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F52">
            <w:pPr>
              <w:pStyle w:val="BodyText"/>
              <w:rPr>
                <w:lang w:val="en-NZ"/>
              </w:rPr>
            </w:pPr>
            <w:r w:rsidRPr="00571F52">
              <w:t>Release 1</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F52" w:rsidP="00571F52">
            <w:pPr>
              <w:pStyle w:val="BodyText"/>
            </w:pPr>
            <w:r w:rsidRPr="00571F52">
              <w:t xml:space="preserve">This version was released in </w:t>
            </w:r>
            <w:r w:rsidRPr="00571F52">
              <w:rPr>
                <w:rStyle w:val="Emphasis"/>
              </w:rPr>
              <w:t>MSL Laboratory Operations Training Package Release 2.0.</w:t>
            </w:r>
          </w:p>
          <w:p w:rsidR="00000000" w:rsidRPr="00571F52" w:rsidP="00571F52">
            <w:pPr>
              <w:pStyle w:val="BodyText"/>
            </w:pPr>
            <w:r w:rsidRPr="00571F52">
              <w:t xml:space="preserve">Supersedes and equivalent to </w:t>
            </w:r>
            <w:r w:rsidRPr="00571F52">
              <w:rPr>
                <w:rStyle w:val="Emphasis"/>
              </w:rPr>
              <w:t>MSL975006 Perform immunohaematological tests</w:t>
            </w:r>
            <w:r w:rsidRPr="00571F52">
              <w:t xml:space="preserve">. Pre-requisite removed. Changes to elements and </w:t>
            </w:r>
            <w:r w:rsidRPr="00571F52">
              <w:t xml:space="preserve">performance criteria. Foundation skill information added. Range of conditions removed. Assessment requirements amended. </w:t>
            </w:r>
          </w:p>
          <w:p w:rsidR="00000000" w:rsidRPr="00571F52" w:rsidP="00571F52">
            <w:pPr>
              <w:pStyle w:val="BodyText"/>
            </w:pPr>
          </w:p>
        </w:tc>
      </w:tr>
    </w:tbl>
    <w:p w:rsidR="00000000" w:rsidRPr="00571F52" w:rsidP="00571F52">
      <w:pPr>
        <w:pStyle w:val="BodyText"/>
      </w:pPr>
    </w:p>
    <w:p w:rsidR="00000000" w:rsidRPr="00571F52" w:rsidP="00571F52">
      <w:pPr>
        <w:pStyle w:val="AllowPageBreak"/>
      </w:pPr>
    </w:p>
    <w:p w:rsidR="00000000" w:rsidRPr="00571F52" w:rsidP="00571F52">
      <w:pPr>
        <w:pStyle w:val="Heading1"/>
      </w:pPr>
      <w:bookmarkStart w:id="2" w:name="O_974740"/>
      <w:bookmarkEnd w:id="2"/>
      <w:r w:rsidRPr="00571F52">
        <w:t>Application</w:t>
      </w:r>
    </w:p>
    <w:p w:rsidR="00000000" w:rsidRPr="00571F52" w:rsidP="00F36CDB">
      <w:pPr>
        <w:pStyle w:val="BodyText"/>
      </w:pPr>
      <w:r w:rsidRPr="00571F52">
        <w:t>This unit of competency describes the skills and knowledge to perform routine tests and procedures that</w:t>
      </w:r>
      <w:r w:rsidRPr="00571F52">
        <w:t xml:space="preserve"> are part of the requirements of pre- and post-blood transfusion practice. The unit also covers tests and procedures that are indicated in laboratory investigations in obstetric and perinatal medicine, in suspected haemolysis and haemolytic episodes, and i</w:t>
      </w:r>
      <w:r w:rsidRPr="00571F52">
        <w:t>n other clinical circumstances.</w:t>
      </w:r>
    </w:p>
    <w:p w:rsidR="00000000" w:rsidRPr="00571F52" w:rsidP="00F36CDB">
      <w:pPr>
        <w:pStyle w:val="BodyText"/>
      </w:pPr>
      <w:r w:rsidRPr="00571F52">
        <w:t>This unit applies to technical officers and laboratory technicians working in the biomedical industry sector. It is understood that the management of any transfusion laboratory would establish for itself, in terms of its ow</w:t>
      </w:r>
      <w:r w:rsidRPr="00571F52">
        <w:t xml:space="preserve">n responsibility and purposes, the ability of any worker to work in a transfusion science laboratory, regardless of the education and training record or presumed ability of any worker. </w:t>
      </w:r>
    </w:p>
    <w:p w:rsidR="00000000" w:rsidRPr="00571F52" w:rsidP="00F36CDB">
      <w:pPr>
        <w:pStyle w:val="BodyText"/>
      </w:pPr>
      <w:r w:rsidRPr="00571F52">
        <w:t>Tests will be related to the determination of blood groups an</w:t>
      </w:r>
      <w:r w:rsidRPr="00571F52">
        <w:t>d the detection of antibodies of significance in:</w:t>
      </w:r>
    </w:p>
    <w:p w:rsidR="00000000" w:rsidRPr="00571F52" w:rsidP="00571F52">
      <w:pPr>
        <w:pStyle w:val="ListBullet"/>
      </w:pPr>
      <w:r w:rsidRPr="00571F52">
        <w:t xml:space="preserve">transfusion (as laboratory evidence that </w:t>
      </w:r>
      <w:r w:rsidRPr="00571F52">
        <w:rPr>
          <w:rStyle w:val="Emphasis"/>
        </w:rPr>
        <w:t>in vivo</w:t>
      </w:r>
      <w:r w:rsidRPr="00571F52">
        <w:t xml:space="preserve"> cell destruction or immunisation may occur)</w:t>
      </w:r>
    </w:p>
    <w:p w:rsidR="00000000" w:rsidRPr="00571F52" w:rsidP="00571F52">
      <w:pPr>
        <w:pStyle w:val="ListBullet"/>
      </w:pPr>
      <w:r w:rsidRPr="00571F52">
        <w:t>pregnancy and the peri-natal period (as evidence of sensitisation of foetal red cells by transplacental maternal</w:t>
      </w:r>
      <w:r w:rsidRPr="00571F52">
        <w:t xml:space="preserve"> antibody)</w:t>
      </w:r>
    </w:p>
    <w:p w:rsidR="00000000" w:rsidRPr="00571F52" w:rsidP="00571F52">
      <w:pPr>
        <w:pStyle w:val="ListBullet"/>
      </w:pPr>
      <w:r w:rsidRPr="00571F52">
        <w:t>the investigation of haemolysis or haemolytic episodes.</w:t>
      </w:r>
    </w:p>
    <w:p w:rsidR="00000000" w:rsidRPr="00571F52" w:rsidP="00571F52">
      <w:pPr>
        <w:pStyle w:val="BodyText"/>
      </w:pPr>
    </w:p>
    <w:p w:rsidR="00000000" w:rsidRPr="00571F52" w:rsidP="00F36CDB">
      <w:pPr>
        <w:pStyle w:val="BodyText"/>
      </w:pPr>
      <w:r w:rsidRPr="00571F52">
        <w:t>The tests that the worker will use will be validated and authorised procedures, clearly described in the laboratory</w:t>
      </w:r>
      <w:r>
        <w:t>’</w:t>
      </w:r>
      <w:r w:rsidRPr="00571F52">
        <w:t>s manual of procedures. The unit of competency is based on the assumptio</w:t>
      </w:r>
      <w:r w:rsidRPr="00571F52">
        <w:t>n that technical personnel would perform tests and procedures under the close supervision of scientific and/or medical staff. The parameters of interpretation will be clearly described, indicating for the worker what he or she is permitted to sign-off with</w:t>
      </w:r>
      <w:r w:rsidRPr="00571F52">
        <w:t xml:space="preserve">out reference to supervisors or managers. </w:t>
      </w:r>
    </w:p>
    <w:p w:rsidR="00000000" w:rsidRPr="00571F52" w:rsidP="00F36CDB">
      <w:pPr>
        <w:pStyle w:val="BodyText"/>
      </w:pPr>
      <w:r w:rsidRPr="00571F52">
        <w:t>No licensing or certification requirements exist at the time of publication. However, regulations and/or external accreditation requirements for laboratory operations exist, so local requirements should be checke</w:t>
      </w:r>
      <w:r w:rsidRPr="00571F52">
        <w:t>d. Relevant legislation, industry standards and codes of practice within Australia must also be applied.</w:t>
      </w:r>
    </w:p>
    <w:p w:rsidR="00000000" w:rsidRPr="00571F52" w:rsidP="00571F52">
      <w:pPr>
        <w:pStyle w:val="Heading1"/>
      </w:pPr>
      <w:bookmarkStart w:id="3" w:name="O_974741"/>
      <w:bookmarkEnd w:id="3"/>
      <w:r w:rsidRPr="00571F52">
        <w:t>Pre-requisite Unit</w:t>
      </w:r>
    </w:p>
    <w:p w:rsidR="00000000" w:rsidRPr="00571F52" w:rsidP="00F36CDB">
      <w:pPr>
        <w:pStyle w:val="BodyText"/>
      </w:pPr>
      <w:r w:rsidRPr="00571F52">
        <w:t>Nil</w:t>
      </w:r>
    </w:p>
    <w:p w:rsidR="00000000" w:rsidRPr="00571F52" w:rsidP="00571F52">
      <w:pPr>
        <w:pStyle w:val="Heading1"/>
      </w:pPr>
      <w:bookmarkStart w:id="4" w:name="O_974742"/>
      <w:bookmarkEnd w:id="4"/>
      <w:r w:rsidRPr="00571F52">
        <w:t>Competency Field</w:t>
      </w:r>
    </w:p>
    <w:p w:rsidR="00000000" w:rsidRPr="00571F52" w:rsidP="00F36CDB">
      <w:pPr>
        <w:pStyle w:val="BodyText"/>
      </w:pPr>
      <w:r w:rsidRPr="00571F52">
        <w:t>Testing</w:t>
      </w:r>
    </w:p>
    <w:p w:rsidR="00000000" w:rsidRPr="00571F52" w:rsidP="00571F52">
      <w:pPr>
        <w:pStyle w:val="Heading1"/>
      </w:pPr>
      <w:bookmarkStart w:id="5" w:name="O_974744"/>
      <w:bookmarkEnd w:id="5"/>
      <w:r w:rsidRPr="00571F52">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571F52">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571F52">
            <w:pPr>
              <w:pStyle w:val="BodyText"/>
              <w:rPr>
                <w:lang w:val="en-NZ"/>
              </w:rPr>
            </w:pPr>
            <w:r w:rsidRPr="00571F52">
              <w:t xml:space="preserve">Elements describe </w:t>
            </w:r>
            <w:r w:rsidRPr="00571F52">
              <w:t>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71F52">
            <w:pPr>
              <w:pStyle w:val="BodyText"/>
              <w:rPr>
                <w:lang w:val="en-NZ"/>
              </w:rPr>
            </w:pPr>
            <w:r w:rsidRPr="00571F52">
              <w:t>Performance criteria describe the performance needed to demonstrate achievement of the element.</w:t>
            </w:r>
          </w:p>
        </w:tc>
      </w:tr>
      <w:tr w:rsidTr="00571F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71F52" w:rsidP="00571F52">
            <w:pPr>
              <w:pStyle w:val="BodyText"/>
            </w:pPr>
            <w:r w:rsidRPr="00571F52">
              <w:t>1</w:t>
            </w:r>
          </w:p>
        </w:tc>
        <w:tc>
          <w:tcPr>
            <w:tcW w:w="1962" w:type="dxa"/>
            <w:vMerge w:val="restart"/>
            <w:tcBorders>
              <w:top w:val="nil"/>
              <w:left w:val="nil"/>
              <w:bottom w:val="nil"/>
              <w:right w:val="nil"/>
            </w:tcBorders>
            <w:tcMar>
              <w:top w:w="0" w:type="dxa"/>
              <w:left w:w="62" w:type="dxa"/>
              <w:bottom w:w="0" w:type="dxa"/>
              <w:right w:w="62" w:type="dxa"/>
            </w:tcMar>
          </w:tcPr>
          <w:p w:rsidR="00000000" w:rsidP="00571F52">
            <w:pPr>
              <w:pStyle w:val="BodyText"/>
              <w:rPr>
                <w:lang w:val="en-NZ"/>
              </w:rPr>
            </w:pPr>
            <w:r w:rsidRPr="00571F52">
              <w:rPr>
                <w:rStyle w:val="SpecialBold"/>
              </w:rPr>
              <w:t>Process samples and associated request forms</w:t>
            </w:r>
          </w:p>
        </w:tc>
        <w:tc>
          <w:tcPr>
            <w:tcW w:w="770" w:type="dxa"/>
            <w:tcBorders>
              <w:top w:val="nil"/>
              <w:left w:val="nil"/>
              <w:bottom w:val="nil"/>
              <w:right w:val="nil"/>
            </w:tcBorders>
            <w:tcMar>
              <w:top w:w="0" w:type="dxa"/>
              <w:left w:w="62" w:type="dxa"/>
              <w:bottom w:w="0" w:type="dxa"/>
              <w:right w:w="62" w:type="dxa"/>
            </w:tcMar>
          </w:tcPr>
          <w:p w:rsidR="00000000" w:rsidP="00571F52">
            <w:pPr>
              <w:pStyle w:val="BodyText"/>
              <w:rPr>
                <w:lang w:val="en-NZ"/>
              </w:rPr>
            </w:pPr>
            <w:r w:rsidRPr="00571F52">
              <w:t>1.1</w:t>
            </w:r>
          </w:p>
        </w:tc>
        <w:tc>
          <w:tcPr>
            <w:tcW w:w="5610" w:type="dxa"/>
            <w:tcBorders>
              <w:top w:val="nil"/>
              <w:left w:val="nil"/>
              <w:bottom w:val="nil"/>
              <w:right w:val="nil"/>
            </w:tcBorders>
            <w:tcMar>
              <w:top w:w="0" w:type="dxa"/>
              <w:left w:w="62" w:type="dxa"/>
              <w:bottom w:w="0" w:type="dxa"/>
              <w:right w:w="62" w:type="dxa"/>
            </w:tcMar>
          </w:tcPr>
          <w:p w:rsidR="00000000" w:rsidP="00571F52">
            <w:pPr>
              <w:pStyle w:val="BodyText"/>
              <w:rPr>
                <w:lang w:val="en-NZ"/>
              </w:rPr>
            </w:pPr>
            <w:r w:rsidRPr="00571F52">
              <w:t xml:space="preserve">Identify specimens and request forms that do not comply with minimum industry requirements for labelling, identification and test requests </w:t>
            </w:r>
          </w:p>
        </w:tc>
      </w:tr>
      <w:tr w:rsidTr="00571F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F52">
            <w:pPr>
              <w:pStyle w:val="BodyText"/>
              <w:rPr>
                <w:lang w:val="en-NZ"/>
              </w:rPr>
            </w:pPr>
            <w:r w:rsidRPr="00571F52">
              <w:t>1.2</w:t>
            </w:r>
          </w:p>
        </w:tc>
        <w:tc>
          <w:tcPr>
            <w:tcW w:w="5610" w:type="dxa"/>
            <w:tcBorders>
              <w:top w:val="nil"/>
              <w:left w:val="nil"/>
              <w:bottom w:val="nil"/>
              <w:right w:val="nil"/>
            </w:tcBorders>
            <w:tcMar>
              <w:top w:w="0" w:type="dxa"/>
              <w:left w:w="62" w:type="dxa"/>
              <w:bottom w:w="0" w:type="dxa"/>
              <w:right w:w="62" w:type="dxa"/>
            </w:tcMar>
          </w:tcPr>
          <w:p w:rsidR="00000000" w:rsidP="00571F52">
            <w:pPr>
              <w:pStyle w:val="BodyText"/>
              <w:rPr>
                <w:lang w:val="en-NZ"/>
              </w:rPr>
            </w:pPr>
            <w:r w:rsidRPr="00571F52">
              <w:t xml:space="preserve">Record any discrepancies and indicate what action is required </w:t>
            </w:r>
          </w:p>
        </w:tc>
      </w:tr>
      <w:tr w:rsidTr="00571F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F52">
            <w:pPr>
              <w:pStyle w:val="BodyText"/>
              <w:rPr>
                <w:lang w:val="en-NZ"/>
              </w:rPr>
            </w:pPr>
            <w:r w:rsidRPr="00571F52">
              <w:t>1.3</w:t>
            </w:r>
          </w:p>
        </w:tc>
        <w:tc>
          <w:tcPr>
            <w:tcW w:w="5610" w:type="dxa"/>
            <w:tcBorders>
              <w:top w:val="nil"/>
              <w:left w:val="nil"/>
              <w:bottom w:val="nil"/>
              <w:right w:val="nil"/>
            </w:tcBorders>
            <w:tcMar>
              <w:top w:w="0" w:type="dxa"/>
              <w:left w:w="62" w:type="dxa"/>
              <w:bottom w:w="0" w:type="dxa"/>
              <w:right w:w="62" w:type="dxa"/>
            </w:tcMar>
          </w:tcPr>
          <w:p w:rsidR="00000000" w:rsidP="00571F52">
            <w:pPr>
              <w:pStyle w:val="BodyText"/>
              <w:rPr>
                <w:lang w:val="en-NZ"/>
              </w:rPr>
            </w:pPr>
            <w:r w:rsidRPr="00571F52">
              <w:t>Log samples, recording details that allow accurate tracking and chain of custody</w:t>
            </w:r>
          </w:p>
        </w:tc>
      </w:tr>
      <w:tr w:rsidTr="00571F52">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571F52">
            <w:pPr>
              <w:pStyle w:val="BodyText"/>
              <w:rPr>
                <w:lang w:val="en-NZ"/>
              </w:rPr>
            </w:pPr>
          </w:p>
        </w:tc>
      </w:tr>
      <w:tr w:rsidTr="00571F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71F52" w:rsidP="00571F52">
            <w:pPr>
              <w:pStyle w:val="BodyText"/>
            </w:pPr>
            <w:r w:rsidRPr="00571F52">
              <w:t>2</w:t>
            </w:r>
          </w:p>
        </w:tc>
        <w:tc>
          <w:tcPr>
            <w:tcW w:w="1962" w:type="dxa"/>
            <w:vMerge w:val="restart"/>
            <w:tcBorders>
              <w:top w:val="nil"/>
              <w:left w:val="nil"/>
              <w:bottom w:val="nil"/>
              <w:right w:val="nil"/>
            </w:tcBorders>
            <w:tcMar>
              <w:top w:w="0" w:type="dxa"/>
              <w:left w:w="62" w:type="dxa"/>
              <w:bottom w:w="0" w:type="dxa"/>
              <w:right w:w="62" w:type="dxa"/>
            </w:tcMar>
          </w:tcPr>
          <w:p w:rsidR="00000000" w:rsidP="00571F52">
            <w:pPr>
              <w:pStyle w:val="BodyText"/>
              <w:rPr>
                <w:lang w:val="en-NZ"/>
              </w:rPr>
            </w:pPr>
            <w:r w:rsidRPr="00571F52">
              <w:rPr>
                <w:rStyle w:val="SpecialBold"/>
              </w:rPr>
              <w:t>Perform tests</w:t>
            </w:r>
          </w:p>
        </w:tc>
        <w:tc>
          <w:tcPr>
            <w:tcW w:w="770" w:type="dxa"/>
            <w:tcBorders>
              <w:top w:val="nil"/>
              <w:left w:val="nil"/>
              <w:bottom w:val="nil"/>
              <w:right w:val="nil"/>
            </w:tcBorders>
            <w:tcMar>
              <w:top w:w="0" w:type="dxa"/>
              <w:left w:w="62" w:type="dxa"/>
              <w:bottom w:w="0" w:type="dxa"/>
              <w:right w:w="62" w:type="dxa"/>
            </w:tcMar>
          </w:tcPr>
          <w:p w:rsidR="00000000" w:rsidP="00571F52">
            <w:pPr>
              <w:pStyle w:val="BodyText"/>
              <w:rPr>
                <w:lang w:val="en-NZ"/>
              </w:rPr>
            </w:pPr>
            <w:r w:rsidRPr="00571F52">
              <w:t>2.1</w:t>
            </w:r>
          </w:p>
        </w:tc>
        <w:tc>
          <w:tcPr>
            <w:tcW w:w="5610" w:type="dxa"/>
            <w:tcBorders>
              <w:top w:val="nil"/>
              <w:left w:val="nil"/>
              <w:bottom w:val="nil"/>
              <w:right w:val="nil"/>
            </w:tcBorders>
            <w:tcMar>
              <w:top w:w="0" w:type="dxa"/>
              <w:left w:w="62" w:type="dxa"/>
              <w:bottom w:w="0" w:type="dxa"/>
              <w:right w:w="62" w:type="dxa"/>
            </w:tcMar>
          </w:tcPr>
          <w:p w:rsidR="00000000" w:rsidP="00571F52">
            <w:pPr>
              <w:pStyle w:val="BodyText"/>
              <w:rPr>
                <w:lang w:val="en-NZ"/>
              </w:rPr>
            </w:pPr>
            <w:r w:rsidRPr="00571F52">
              <w:t>Conduct individual tests according to documented standard operating procedures, applying required quality control</w:t>
            </w:r>
          </w:p>
        </w:tc>
      </w:tr>
      <w:tr w:rsidTr="00571F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F52">
            <w:pPr>
              <w:pStyle w:val="BodyText"/>
              <w:rPr>
                <w:lang w:val="en-NZ"/>
              </w:rPr>
            </w:pPr>
            <w:r w:rsidRPr="00571F52">
              <w:t>2.2</w:t>
            </w:r>
          </w:p>
        </w:tc>
        <w:tc>
          <w:tcPr>
            <w:tcW w:w="5610" w:type="dxa"/>
            <w:tcBorders>
              <w:top w:val="nil"/>
              <w:left w:val="nil"/>
              <w:bottom w:val="nil"/>
              <w:right w:val="nil"/>
            </w:tcBorders>
            <w:tcMar>
              <w:top w:w="0" w:type="dxa"/>
              <w:left w:w="62" w:type="dxa"/>
              <w:bottom w:w="0" w:type="dxa"/>
              <w:right w:w="62" w:type="dxa"/>
            </w:tcMar>
          </w:tcPr>
          <w:p w:rsidR="00000000" w:rsidP="00571F52">
            <w:pPr>
              <w:pStyle w:val="BodyText"/>
              <w:rPr>
                <w:lang w:val="en-NZ"/>
              </w:rPr>
            </w:pPr>
            <w:r w:rsidRPr="00571F52">
              <w:t xml:space="preserve">Use appropriate manual techniques to determine patient/donor red cell phenotype and antibody status </w:t>
            </w:r>
          </w:p>
        </w:tc>
      </w:tr>
      <w:tr w:rsidTr="00571F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F52">
            <w:pPr>
              <w:pStyle w:val="BodyText"/>
              <w:rPr>
                <w:lang w:val="en-NZ"/>
              </w:rPr>
            </w:pPr>
            <w:r w:rsidRPr="00571F52">
              <w:t>2.3</w:t>
            </w:r>
          </w:p>
        </w:tc>
        <w:tc>
          <w:tcPr>
            <w:tcW w:w="5610" w:type="dxa"/>
            <w:tcBorders>
              <w:top w:val="nil"/>
              <w:left w:val="nil"/>
              <w:bottom w:val="nil"/>
              <w:right w:val="nil"/>
            </w:tcBorders>
            <w:tcMar>
              <w:top w:w="0" w:type="dxa"/>
              <w:left w:w="62" w:type="dxa"/>
              <w:bottom w:w="0" w:type="dxa"/>
              <w:right w:w="62" w:type="dxa"/>
            </w:tcMar>
          </w:tcPr>
          <w:p w:rsidR="00000000" w:rsidP="00571F52">
            <w:pPr>
              <w:pStyle w:val="BodyText"/>
              <w:rPr>
                <w:lang w:val="en-NZ"/>
              </w:rPr>
            </w:pPr>
            <w:r w:rsidRPr="00571F52">
              <w:t>Read and grade tube and card agglutination reactions</w:t>
            </w:r>
            <w:r w:rsidRPr="00571F52">
              <w:rPr>
                <w:rStyle w:val="Monospace"/>
              </w:rPr>
              <w:t> </w:t>
            </w:r>
          </w:p>
        </w:tc>
      </w:tr>
      <w:tr w:rsidTr="00571F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F52">
            <w:pPr>
              <w:pStyle w:val="BodyText"/>
              <w:rPr>
                <w:lang w:val="en-NZ"/>
              </w:rPr>
            </w:pPr>
            <w:r w:rsidRPr="00571F52">
              <w:t>2.4</w:t>
            </w:r>
          </w:p>
        </w:tc>
        <w:tc>
          <w:tcPr>
            <w:tcW w:w="5610" w:type="dxa"/>
            <w:tcBorders>
              <w:top w:val="nil"/>
              <w:left w:val="nil"/>
              <w:bottom w:val="nil"/>
              <w:right w:val="nil"/>
            </w:tcBorders>
            <w:tcMar>
              <w:top w:w="0" w:type="dxa"/>
              <w:left w:w="62" w:type="dxa"/>
              <w:bottom w:w="0" w:type="dxa"/>
              <w:right w:w="62" w:type="dxa"/>
            </w:tcMar>
          </w:tcPr>
          <w:p w:rsidR="00000000" w:rsidP="00571F52">
            <w:pPr>
              <w:pStyle w:val="BodyText"/>
              <w:rPr>
                <w:lang w:val="en-NZ"/>
              </w:rPr>
            </w:pPr>
            <w:r w:rsidRPr="00571F52">
              <w:t>Record and interpret results</w:t>
            </w:r>
          </w:p>
        </w:tc>
      </w:tr>
      <w:tr w:rsidTr="00571F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F52">
            <w:pPr>
              <w:pStyle w:val="BodyText"/>
              <w:rPr>
                <w:lang w:val="en-NZ"/>
              </w:rPr>
            </w:pPr>
            <w:r w:rsidRPr="00571F52">
              <w:t>2.5</w:t>
            </w:r>
          </w:p>
        </w:tc>
        <w:tc>
          <w:tcPr>
            <w:tcW w:w="5610" w:type="dxa"/>
            <w:tcBorders>
              <w:top w:val="nil"/>
              <w:left w:val="nil"/>
              <w:bottom w:val="nil"/>
              <w:right w:val="nil"/>
            </w:tcBorders>
            <w:tcMar>
              <w:top w:w="0" w:type="dxa"/>
              <w:left w:w="62" w:type="dxa"/>
              <w:bottom w:w="0" w:type="dxa"/>
              <w:right w:w="62" w:type="dxa"/>
            </w:tcMar>
          </w:tcPr>
          <w:p w:rsidR="00000000" w:rsidP="00571F52">
            <w:pPr>
              <w:pStyle w:val="BodyText"/>
              <w:rPr>
                <w:lang w:val="en-NZ"/>
              </w:rPr>
            </w:pPr>
            <w:r w:rsidRPr="00571F52">
              <w:t>Validate test results and reagents using control cells and reagents</w:t>
            </w:r>
          </w:p>
        </w:tc>
      </w:tr>
      <w:tr w:rsidTr="00571F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F52">
            <w:pPr>
              <w:pStyle w:val="BodyText"/>
              <w:rPr>
                <w:lang w:val="en-NZ"/>
              </w:rPr>
            </w:pPr>
            <w:r w:rsidRPr="00571F52">
              <w:t>2.6</w:t>
            </w:r>
          </w:p>
        </w:tc>
        <w:tc>
          <w:tcPr>
            <w:tcW w:w="5610" w:type="dxa"/>
            <w:tcBorders>
              <w:top w:val="nil"/>
              <w:left w:val="nil"/>
              <w:bottom w:val="nil"/>
              <w:right w:val="nil"/>
            </w:tcBorders>
            <w:tcMar>
              <w:top w:w="0" w:type="dxa"/>
              <w:left w:w="62" w:type="dxa"/>
              <w:bottom w:w="0" w:type="dxa"/>
              <w:right w:w="62" w:type="dxa"/>
            </w:tcMar>
          </w:tcPr>
          <w:p w:rsidR="00000000" w:rsidP="00571F52">
            <w:pPr>
              <w:pStyle w:val="BodyText"/>
              <w:rPr>
                <w:lang w:val="en-NZ"/>
              </w:rPr>
            </w:pPr>
            <w:r w:rsidRPr="00571F52">
              <w:t>Complete documentation required to permit the issuing of blood or blood components that have been cleared for use by clinical staff</w:t>
            </w:r>
          </w:p>
        </w:tc>
      </w:tr>
      <w:tr w:rsidTr="00571F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571F52">
            <w:pPr>
              <w:pStyle w:val="BodyText"/>
              <w:rPr>
                <w:lang w:val="en-NZ"/>
              </w:rPr>
            </w:pPr>
          </w:p>
        </w:tc>
      </w:tr>
      <w:tr w:rsidTr="00571F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71F52" w:rsidP="00571F52">
            <w:pPr>
              <w:pStyle w:val="BodyText"/>
            </w:pPr>
            <w:r w:rsidRPr="00571F52">
              <w:t>3</w:t>
            </w:r>
          </w:p>
        </w:tc>
        <w:tc>
          <w:tcPr>
            <w:tcW w:w="1962" w:type="dxa"/>
            <w:vMerge w:val="restart"/>
            <w:tcBorders>
              <w:top w:val="nil"/>
              <w:left w:val="nil"/>
              <w:bottom w:val="nil"/>
              <w:right w:val="nil"/>
            </w:tcBorders>
            <w:tcMar>
              <w:top w:w="0" w:type="dxa"/>
              <w:left w:w="62" w:type="dxa"/>
              <w:bottom w:w="0" w:type="dxa"/>
              <w:right w:w="62" w:type="dxa"/>
            </w:tcMar>
          </w:tcPr>
          <w:p w:rsidR="00000000" w:rsidP="00571F52">
            <w:pPr>
              <w:pStyle w:val="BodyText"/>
              <w:rPr>
                <w:lang w:val="en-NZ"/>
              </w:rPr>
            </w:pPr>
            <w:r w:rsidRPr="00571F52">
              <w:rPr>
                <w:rStyle w:val="SpecialBold"/>
              </w:rPr>
              <w:t>Maintain laboratory records</w:t>
            </w:r>
          </w:p>
        </w:tc>
        <w:tc>
          <w:tcPr>
            <w:tcW w:w="770" w:type="dxa"/>
            <w:tcBorders>
              <w:top w:val="nil"/>
              <w:left w:val="nil"/>
              <w:bottom w:val="nil"/>
              <w:right w:val="nil"/>
            </w:tcBorders>
            <w:tcMar>
              <w:top w:w="0" w:type="dxa"/>
              <w:left w:w="62" w:type="dxa"/>
              <w:bottom w:w="0" w:type="dxa"/>
              <w:right w:w="62" w:type="dxa"/>
            </w:tcMar>
          </w:tcPr>
          <w:p w:rsidR="00000000" w:rsidP="00571F52">
            <w:pPr>
              <w:pStyle w:val="BodyText"/>
              <w:rPr>
                <w:lang w:val="en-NZ"/>
              </w:rPr>
            </w:pPr>
            <w:r w:rsidRPr="00571F52">
              <w:t>3.1</w:t>
            </w:r>
          </w:p>
        </w:tc>
        <w:tc>
          <w:tcPr>
            <w:tcW w:w="5610" w:type="dxa"/>
            <w:tcBorders>
              <w:top w:val="nil"/>
              <w:left w:val="nil"/>
              <w:bottom w:val="nil"/>
              <w:right w:val="nil"/>
            </w:tcBorders>
            <w:tcMar>
              <w:top w:w="0" w:type="dxa"/>
              <w:left w:w="62" w:type="dxa"/>
              <w:bottom w:w="0" w:type="dxa"/>
              <w:right w:w="62" w:type="dxa"/>
            </w:tcMar>
          </w:tcPr>
          <w:p w:rsidR="00000000" w:rsidP="00571F52">
            <w:pPr>
              <w:pStyle w:val="BodyText"/>
              <w:rPr>
                <w:lang w:val="en-NZ"/>
              </w:rPr>
            </w:pPr>
            <w:r w:rsidRPr="00571F52">
              <w:t>Record en</w:t>
            </w:r>
            <w:r w:rsidRPr="00571F52">
              <w:t>tries on report forms or into a laboratory information management system accurately calculating, recording or transcribing data as required</w:t>
            </w:r>
          </w:p>
        </w:tc>
      </w:tr>
      <w:tr w:rsidTr="00571F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F52">
            <w:pPr>
              <w:pStyle w:val="BodyText"/>
              <w:rPr>
                <w:lang w:val="en-NZ"/>
              </w:rPr>
            </w:pPr>
            <w:r w:rsidRPr="00571F52">
              <w:t>3.2</w:t>
            </w:r>
          </w:p>
        </w:tc>
        <w:tc>
          <w:tcPr>
            <w:tcW w:w="5610" w:type="dxa"/>
            <w:tcBorders>
              <w:top w:val="nil"/>
              <w:left w:val="nil"/>
              <w:bottom w:val="nil"/>
              <w:right w:val="nil"/>
            </w:tcBorders>
            <w:tcMar>
              <w:top w:w="0" w:type="dxa"/>
              <w:left w:w="62" w:type="dxa"/>
              <w:bottom w:w="0" w:type="dxa"/>
              <w:right w:w="62" w:type="dxa"/>
            </w:tcMar>
          </w:tcPr>
          <w:p w:rsidR="00000000" w:rsidP="00571F52">
            <w:pPr>
              <w:pStyle w:val="BodyText"/>
              <w:rPr>
                <w:lang w:val="en-NZ"/>
              </w:rPr>
            </w:pPr>
            <w:r w:rsidRPr="00571F52">
              <w:t>Maintain records of blood and blood products received, used and returned to supplier</w:t>
            </w:r>
          </w:p>
        </w:tc>
      </w:tr>
      <w:tr w:rsidTr="00571F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1F52">
            <w:pPr>
              <w:pStyle w:val="BodyText"/>
              <w:rPr>
                <w:lang w:val="en-NZ"/>
              </w:rPr>
            </w:pPr>
            <w:r w:rsidRPr="00571F52">
              <w:t>3.3</w:t>
            </w:r>
          </w:p>
        </w:tc>
        <w:tc>
          <w:tcPr>
            <w:tcW w:w="5610" w:type="dxa"/>
            <w:tcBorders>
              <w:top w:val="nil"/>
              <w:left w:val="nil"/>
              <w:bottom w:val="nil"/>
              <w:right w:val="nil"/>
            </w:tcBorders>
            <w:tcMar>
              <w:top w:w="0" w:type="dxa"/>
              <w:left w:w="62" w:type="dxa"/>
              <w:bottom w:w="0" w:type="dxa"/>
              <w:right w:w="62" w:type="dxa"/>
            </w:tcMar>
          </w:tcPr>
          <w:p w:rsidR="00000000" w:rsidRPr="00571F52" w:rsidP="00571F52">
            <w:pPr>
              <w:pStyle w:val="BodyText"/>
            </w:pPr>
            <w:r w:rsidRPr="00571F52">
              <w:t>Ensure traceability of sample from receipt to reporting of results</w:t>
            </w:r>
          </w:p>
        </w:tc>
      </w:tr>
    </w:tbl>
    <w:p w:rsidR="00000000" w:rsidRPr="00571F52" w:rsidP="00571F52">
      <w:pPr>
        <w:pStyle w:val="BodyText"/>
      </w:pPr>
    </w:p>
    <w:p w:rsidR="00000000" w:rsidRPr="00571F52" w:rsidP="00571F52">
      <w:pPr>
        <w:pStyle w:val="AllowPageBreak"/>
      </w:pPr>
    </w:p>
    <w:p w:rsidR="00000000" w:rsidRPr="00571F52" w:rsidP="00571F52">
      <w:pPr>
        <w:pStyle w:val="Heading1"/>
      </w:pPr>
      <w:bookmarkStart w:id="6" w:name="O_974745"/>
      <w:bookmarkEnd w:id="6"/>
      <w:r w:rsidRPr="00571F52">
        <w:t>Foundation Skills</w:t>
      </w:r>
    </w:p>
    <w:p w:rsidR="00000000" w:rsidRPr="00571F52" w:rsidP="00F36CDB">
      <w:pPr>
        <w:pStyle w:val="BodyText"/>
      </w:pPr>
      <w:r w:rsidRPr="00571F52">
        <w:t>This section describes those language, literacy, numeracy and employment skills that are essential to performance.</w:t>
      </w:r>
    </w:p>
    <w:p w:rsidR="00000000" w:rsidRPr="00571F52" w:rsidP="00571F52">
      <w:pPr>
        <w:pStyle w:val="ListBullet"/>
      </w:pPr>
      <w:r w:rsidRPr="00571F52">
        <w:t>Oral communication skills to interac</w:t>
      </w:r>
      <w:r w:rsidRPr="00571F52">
        <w:t>t effectively with supervisors and managers (laboratory, quality and customer service), personnel in other laboratories in the workplace or in other workplaces to which work may be referred, customers, patients and clients, external auditors and accreditat</w:t>
      </w:r>
      <w:r w:rsidRPr="00571F52">
        <w:t>ion agencies, such as National Association of Testing Authorities (NATA) and Red Cross Blood Service</w:t>
      </w:r>
    </w:p>
    <w:p w:rsidR="00000000" w:rsidRPr="00571F52" w:rsidP="00571F52">
      <w:pPr>
        <w:pStyle w:val="BodyText"/>
      </w:pPr>
    </w:p>
    <w:p w:rsidR="00000000" w:rsidRPr="00571F52" w:rsidP="00F36CDB">
      <w:pPr>
        <w:pStyle w:val="BodyText"/>
      </w:pPr>
      <w:r w:rsidRPr="00571F52">
        <w:t>Other foundation skills essential to performance are explicit in the performance criteria of this unit.</w:t>
      </w:r>
    </w:p>
    <w:p w:rsidR="00000000" w:rsidRPr="00571F52" w:rsidP="00571F52">
      <w:pPr>
        <w:pStyle w:val="Heading1"/>
      </w:pPr>
      <w:bookmarkStart w:id="7" w:name="O_974747"/>
      <w:bookmarkEnd w:id="7"/>
      <w:r w:rsidRPr="00571F52">
        <w:t>Unit Mapping Information</w:t>
      </w:r>
    </w:p>
    <w:p w:rsidR="00000000" w:rsidRPr="00571F52" w:rsidP="00F36CDB">
      <w:pPr>
        <w:pStyle w:val="BodyText"/>
      </w:pPr>
      <w:r w:rsidRPr="00571F52">
        <w:t>Equivalent to MSL975006 Perform immunohaematological tests, Release 1.</w:t>
      </w:r>
    </w:p>
    <w:p w:rsidR="00000000" w:rsidRPr="00571F52" w:rsidP="00571F52">
      <w:pPr>
        <w:pStyle w:val="Heading1"/>
      </w:pPr>
      <w:bookmarkStart w:id="8" w:name="O_974754"/>
      <w:bookmarkEnd w:id="8"/>
      <w:r w:rsidRPr="00571F52">
        <w:t>Links</w:t>
      </w:r>
    </w:p>
    <w:p w:rsidR="00000000" w:rsidRPr="00571F52" w:rsidP="00F36CDB">
      <w:pPr>
        <w:pStyle w:val="BodyText"/>
      </w:pPr>
      <w:r w:rsidRPr="00571F52">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31325C">
        <w:rPr>
          <w:rStyle w:val="Hyperlink"/>
        </w:rPr>
        <w:t>https://vetnet.gov.au/Pages/TrainingDocs.aspx?q=5c63a03b-4a6b-4ae5-9560-1e3c5f462baa</w:t>
      </w:r>
      <w:r>
        <w:fldChar w:fldCharType="end"/>
      </w:r>
    </w:p>
    <w:p w:rsidR="00000000" w:rsidRPr="00571F52" w:rsidP="00571F52"/>
    <w:sectPr w:rsidSect="00571F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F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F52" w:rsidRPr="00F36CDB" w:rsidP="00F36C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F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CDB" w:rsidP="00571F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6CDB" w:rsidP="00571F5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36CDB" w:rsidP="00571F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F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C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1F52" w:rsidRPr="00F36CDB" w:rsidP="00F36C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F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CDB" w:rsidRPr="002D2AF8" w:rsidP="00571F52">
    <w:pPr>
      <w:pStyle w:val="Header"/>
      <w:framePr w:wrap="around"/>
    </w:pPr>
    <w:r>
      <w:fldChar w:fldCharType="begin"/>
    </w:r>
    <w:r>
      <w:instrText xml:space="preserve"> TITLE   \* MERGEFORMAT </w:instrText>
    </w:r>
    <w:r>
      <w:fldChar w:fldCharType="separate"/>
    </w:r>
    <w:r>
      <w:t>MSL975030 Perform immunohaematological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October 2021</w:t>
    </w:r>
    <w:r>
      <w:fldChar w:fldCharType="end"/>
    </w:r>
  </w:p>
  <w:p w:rsidR="00F36CDB" w:rsidP="00571F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5052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2E49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F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1F52"/>
    <w:pPr>
      <w:spacing w:before="360" w:after="60"/>
      <w:outlineLvl w:val="0"/>
    </w:pPr>
    <w:rPr>
      <w:sz w:val="32"/>
    </w:rPr>
  </w:style>
  <w:style w:type="paragraph" w:styleId="Heading2">
    <w:name w:val="heading 2"/>
    <w:basedOn w:val="HeadingBase"/>
    <w:next w:val="BodyText"/>
    <w:link w:val="Heading2Char"/>
    <w:qFormat/>
    <w:rsid w:val="00571F52"/>
    <w:pPr>
      <w:keepLines/>
      <w:spacing w:before="240" w:after="120"/>
      <w:outlineLvl w:val="1"/>
    </w:pPr>
    <w:rPr>
      <w:sz w:val="28"/>
      <w:szCs w:val="40"/>
    </w:rPr>
  </w:style>
  <w:style w:type="paragraph" w:styleId="Heading3">
    <w:name w:val="heading 3"/>
    <w:basedOn w:val="HeadingBase"/>
    <w:next w:val="BodyText"/>
    <w:link w:val="Heading3Char"/>
    <w:qFormat/>
    <w:rsid w:val="00571F52"/>
    <w:pPr>
      <w:spacing w:before="180" w:after="120"/>
      <w:outlineLvl w:val="2"/>
    </w:pPr>
    <w:rPr>
      <w:spacing w:val="-10"/>
      <w:kern w:val="32"/>
    </w:rPr>
  </w:style>
  <w:style w:type="paragraph" w:styleId="Heading4">
    <w:name w:val="heading 4"/>
    <w:basedOn w:val="HeadingBase"/>
    <w:next w:val="BodyText"/>
    <w:link w:val="Heading4Char"/>
    <w:qFormat/>
    <w:rsid w:val="00571F52"/>
    <w:pPr>
      <w:spacing w:before="160" w:after="120"/>
      <w:outlineLvl w:val="3"/>
    </w:pPr>
    <w:rPr>
      <w:sz w:val="22"/>
    </w:rPr>
  </w:style>
  <w:style w:type="paragraph" w:styleId="Heading5">
    <w:name w:val="heading 5"/>
    <w:basedOn w:val="HeadingBase"/>
    <w:next w:val="Normal"/>
    <w:link w:val="Heading5Char"/>
    <w:qFormat/>
    <w:rsid w:val="00571F52"/>
    <w:pPr>
      <w:spacing w:before="80"/>
      <w:outlineLvl w:val="4"/>
    </w:pPr>
    <w:rPr>
      <w:color w:val="918585"/>
      <w:sz w:val="20"/>
    </w:rPr>
  </w:style>
  <w:style w:type="paragraph" w:styleId="Heading6">
    <w:name w:val="heading 6"/>
    <w:basedOn w:val="HeadingBase"/>
    <w:next w:val="Normal"/>
    <w:link w:val="Heading6Char"/>
    <w:qFormat/>
    <w:rsid w:val="00571F52"/>
    <w:pPr>
      <w:spacing w:before="60"/>
      <w:outlineLvl w:val="5"/>
    </w:pPr>
    <w:rPr>
      <w:color w:val="918585"/>
      <w:sz w:val="20"/>
    </w:rPr>
  </w:style>
  <w:style w:type="paragraph" w:styleId="Heading7">
    <w:name w:val="heading 7"/>
    <w:basedOn w:val="Normal"/>
    <w:next w:val="Normal"/>
    <w:link w:val="Heading7Char"/>
    <w:qFormat/>
    <w:rsid w:val="00571F52"/>
    <w:pPr>
      <w:ind w:left="720"/>
      <w:outlineLvl w:val="6"/>
    </w:pPr>
    <w:rPr>
      <w:i/>
    </w:rPr>
  </w:style>
  <w:style w:type="paragraph" w:styleId="Heading8">
    <w:name w:val="heading 8"/>
    <w:basedOn w:val="Normal"/>
    <w:next w:val="Normal"/>
    <w:link w:val="Heading8Char"/>
    <w:qFormat/>
    <w:rsid w:val="00571F52"/>
    <w:pPr>
      <w:ind w:left="720"/>
      <w:outlineLvl w:val="7"/>
    </w:pPr>
    <w:rPr>
      <w:i/>
    </w:rPr>
  </w:style>
  <w:style w:type="paragraph" w:styleId="Heading9">
    <w:name w:val="heading 9"/>
    <w:basedOn w:val="Normal"/>
    <w:next w:val="Normal"/>
    <w:link w:val="Heading9Char"/>
    <w:qFormat/>
    <w:rsid w:val="00571F52"/>
    <w:pPr>
      <w:ind w:left="720"/>
      <w:outlineLvl w:val="8"/>
    </w:pPr>
    <w:rPr>
      <w:i/>
    </w:rPr>
  </w:style>
  <w:style w:type="character" w:default="1" w:styleId="DefaultParagraphFont">
    <w:name w:val="Default Paragraph Font"/>
    <w:uiPriority w:val="1"/>
    <w:unhideWhenUsed/>
    <w:rsid w:val="00571F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1F52"/>
  </w:style>
  <w:style w:type="character" w:customStyle="1" w:styleId="Heading1Char">
    <w:name w:val="Heading 1 Char"/>
    <w:basedOn w:val="DefaultParagraphFont"/>
    <w:link w:val="Heading1"/>
    <w:rsid w:val="00571F52"/>
    <w:rPr>
      <w:rFonts w:ascii="Times New Roman" w:eastAsia="Times New Roman" w:hAnsi="Times New Roman" w:cs="Times New Roman"/>
      <w:b/>
      <w:sz w:val="32"/>
      <w:szCs w:val="20"/>
      <w:lang w:eastAsia="en-US"/>
    </w:rPr>
  </w:style>
  <w:style w:type="paragraph" w:styleId="BodyText">
    <w:name w:val="Body Text"/>
    <w:basedOn w:val="Normal"/>
    <w:link w:val="BodyTextChar"/>
    <w:rsid w:val="00571F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1F52"/>
    <w:rPr>
      <w:rFonts w:ascii="Times New Roman" w:eastAsia="Times New Roman" w:hAnsi="Times New Roman" w:cs="Times New Roman"/>
      <w:sz w:val="24"/>
      <w:lang w:eastAsia="en-US"/>
    </w:rPr>
  </w:style>
  <w:style w:type="paragraph" w:styleId="ListBullet">
    <w:name w:val="List Bullet"/>
    <w:basedOn w:val="List"/>
    <w:rsid w:val="00571F52"/>
    <w:pPr>
      <w:numPr>
        <w:numId w:val="11"/>
      </w:numPr>
      <w:tabs>
        <w:tab w:val="clear" w:pos="340"/>
      </w:tabs>
      <w:spacing w:before="40" w:after="40"/>
    </w:pPr>
  </w:style>
  <w:style w:type="character" w:customStyle="1" w:styleId="SpecialBold">
    <w:name w:val="Special Bold"/>
    <w:basedOn w:val="DefaultParagraphFont"/>
    <w:rsid w:val="00571F52"/>
    <w:rPr>
      <w:b/>
      <w:spacing w:val="0"/>
    </w:rPr>
  </w:style>
  <w:style w:type="character" w:styleId="Emphasis">
    <w:name w:val="Emphasis"/>
    <w:basedOn w:val="DefaultParagraphFont"/>
    <w:qFormat/>
    <w:rsid w:val="00571F52"/>
    <w:rPr>
      <w:i/>
    </w:rPr>
  </w:style>
  <w:style w:type="paragraph" w:customStyle="1" w:styleId="SuperHeading">
    <w:name w:val="SuperHeading"/>
    <w:basedOn w:val="Normal"/>
    <w:rsid w:val="00571F52"/>
    <w:pPr>
      <w:spacing w:before="240" w:after="120"/>
      <w:outlineLvl w:val="0"/>
    </w:pPr>
    <w:rPr>
      <w:rFonts w:ascii="Times New Roman" w:hAnsi="Times New Roman"/>
      <w:b/>
      <w:sz w:val="32"/>
    </w:rPr>
  </w:style>
  <w:style w:type="paragraph" w:customStyle="1" w:styleId="AllowPageBreak">
    <w:name w:val="AllowPageBreak"/>
    <w:rsid w:val="00571F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571F52"/>
    <w:rPr>
      <w:rFonts w:ascii="Courier New" w:hAnsi="Courier New"/>
    </w:rPr>
  </w:style>
  <w:style w:type="character" w:customStyle="1" w:styleId="Heading2Char">
    <w:name w:val="Heading 2 Char"/>
    <w:basedOn w:val="DefaultParagraphFont"/>
    <w:link w:val="Heading2"/>
    <w:rsid w:val="00571F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1F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1F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1F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1F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1F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1F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1F52"/>
    <w:rPr>
      <w:rFonts w:ascii="Courier New" w:eastAsia="Times New Roman" w:hAnsi="Courier New" w:cs="Times New Roman"/>
      <w:i/>
      <w:szCs w:val="20"/>
      <w:lang w:eastAsia="en-US"/>
    </w:rPr>
  </w:style>
  <w:style w:type="paragraph" w:customStyle="1" w:styleId="HeadingBase">
    <w:name w:val="Heading Base"/>
    <w:rsid w:val="00571F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1F52"/>
    <w:pPr>
      <w:tabs>
        <w:tab w:val="right" w:leader="dot" w:pos="9072"/>
      </w:tabs>
      <w:ind w:left="567"/>
    </w:pPr>
    <w:rPr>
      <w:szCs w:val="22"/>
    </w:rPr>
  </w:style>
  <w:style w:type="paragraph" w:customStyle="1" w:styleId="TOCBase">
    <w:name w:val="TOC Base"/>
    <w:rsid w:val="00571F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1F52"/>
    <w:pPr>
      <w:tabs>
        <w:tab w:val="right" w:leader="dot" w:pos="9072"/>
      </w:tabs>
      <w:spacing w:before="40" w:after="40"/>
      <w:ind w:left="284"/>
    </w:pPr>
    <w:rPr>
      <w:rFonts w:ascii="Times New Roman" w:hAnsi="Times New Roman"/>
    </w:rPr>
  </w:style>
  <w:style w:type="paragraph" w:styleId="TOC1">
    <w:name w:val="toc 1"/>
    <w:basedOn w:val="TOCBase"/>
    <w:next w:val="Normal"/>
    <w:rsid w:val="00571F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1F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1F52"/>
    <w:rPr>
      <w:rFonts w:ascii="Times New Roman" w:eastAsia="Times New Roman" w:hAnsi="Times New Roman" w:cs="Times New Roman"/>
      <w:sz w:val="16"/>
      <w:lang w:eastAsia="en-US"/>
    </w:rPr>
  </w:style>
  <w:style w:type="paragraph" w:styleId="Title">
    <w:name w:val="Title"/>
    <w:basedOn w:val="HeadingBase"/>
    <w:link w:val="TitleChar"/>
    <w:qFormat/>
    <w:rsid w:val="00571F52"/>
    <w:pPr>
      <w:spacing w:before="5040"/>
      <w:jc w:val="center"/>
    </w:pPr>
    <w:rPr>
      <w:sz w:val="48"/>
      <w:szCs w:val="72"/>
      <w:lang w:val="en-US"/>
    </w:rPr>
  </w:style>
  <w:style w:type="character" w:customStyle="1" w:styleId="TitleChar">
    <w:name w:val="Title Char"/>
    <w:basedOn w:val="DefaultParagraphFont"/>
    <w:link w:val="Title"/>
    <w:rsid w:val="00571F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1F52"/>
    <w:pPr>
      <w:tabs>
        <w:tab w:val="left" w:pos="3600"/>
        <w:tab w:val="left" w:pos="3958"/>
      </w:tabs>
    </w:pPr>
  </w:style>
  <w:style w:type="paragraph" w:styleId="List">
    <w:name w:val="List"/>
    <w:basedOn w:val="BodyText"/>
    <w:next w:val="BodyText"/>
    <w:rsid w:val="00571F52"/>
    <w:pPr>
      <w:tabs>
        <w:tab w:val="left" w:pos="340"/>
      </w:tabs>
      <w:spacing w:before="60" w:after="60"/>
      <w:ind w:left="340" w:hanging="340"/>
    </w:pPr>
  </w:style>
  <w:style w:type="paragraph" w:customStyle="1" w:styleId="Note">
    <w:name w:val="Note"/>
    <w:basedOn w:val="BodyText"/>
    <w:rsid w:val="00571F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1F52"/>
    <w:pPr>
      <w:framePr w:wrap="auto" w:hAnchor="text" w:y="6049"/>
    </w:pPr>
    <w:rPr>
      <w:color w:val="000000"/>
      <w:sz w:val="40"/>
    </w:rPr>
  </w:style>
  <w:style w:type="paragraph" w:customStyle="1" w:styleId="TOCTitle">
    <w:name w:val="TOCTitle"/>
    <w:basedOn w:val="Heading1"/>
    <w:rsid w:val="00571F52"/>
    <w:pPr>
      <w:spacing w:after="240"/>
      <w:jc w:val="center"/>
      <w:outlineLvl w:val="9"/>
    </w:pPr>
    <w:rPr>
      <w:caps/>
    </w:rPr>
  </w:style>
  <w:style w:type="paragraph" w:customStyle="1" w:styleId="Version">
    <w:name w:val="Version"/>
    <w:rsid w:val="00571F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1F52"/>
    <w:pPr>
      <w:numPr>
        <w:numId w:val="12"/>
      </w:numPr>
      <w:tabs>
        <w:tab w:val="clear" w:pos="680"/>
      </w:tabs>
    </w:pPr>
  </w:style>
  <w:style w:type="paragraph" w:styleId="Index1">
    <w:name w:val="index 1"/>
    <w:basedOn w:val="Normal"/>
    <w:next w:val="Normal"/>
    <w:semiHidden/>
    <w:rsid w:val="00571F52"/>
    <w:pPr>
      <w:keepNext w:val="0"/>
      <w:tabs>
        <w:tab w:val="right" w:pos="4176"/>
      </w:tabs>
      <w:ind w:left="198" w:hanging="198"/>
    </w:pPr>
    <w:rPr>
      <w:rFonts w:ascii="Garamond" w:hAnsi="Garamond"/>
    </w:rPr>
  </w:style>
  <w:style w:type="paragraph" w:styleId="IndexHeading">
    <w:name w:val="index heading"/>
    <w:basedOn w:val="Normal"/>
    <w:next w:val="Index1"/>
    <w:semiHidden/>
    <w:rsid w:val="00571F52"/>
    <w:pPr>
      <w:spacing w:before="120" w:after="120"/>
    </w:pPr>
    <w:rPr>
      <w:rFonts w:ascii="Arial" w:hAnsi="Arial"/>
      <w:b/>
      <w:color w:val="918585"/>
      <w:sz w:val="24"/>
    </w:rPr>
  </w:style>
  <w:style w:type="paragraph" w:styleId="Header">
    <w:name w:val="header"/>
    <w:basedOn w:val="Normal"/>
    <w:link w:val="HeaderChar"/>
    <w:rsid w:val="00571F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1F52"/>
    <w:rPr>
      <w:rFonts w:ascii="Times New Roman" w:eastAsia="Times New Roman" w:hAnsi="Times New Roman" w:cs="Times New Roman"/>
      <w:sz w:val="16"/>
      <w:szCs w:val="20"/>
      <w:lang w:val="en-GB" w:eastAsia="en-US"/>
    </w:rPr>
  </w:style>
  <w:style w:type="paragraph" w:customStyle="1" w:styleId="Chapter">
    <w:name w:val="Chapter"/>
    <w:basedOn w:val="Normal"/>
    <w:rsid w:val="00571F52"/>
    <w:pPr>
      <w:spacing w:before="240"/>
    </w:pPr>
    <w:rPr>
      <w:rFonts w:ascii="Times New Roman" w:hAnsi="Times New Roman"/>
      <w:smallCaps/>
      <w:spacing w:val="80"/>
      <w:sz w:val="28"/>
    </w:rPr>
  </w:style>
  <w:style w:type="paragraph" w:customStyle="1" w:styleId="InChapter">
    <w:name w:val="InChapter"/>
    <w:basedOn w:val="Heading3"/>
    <w:rsid w:val="00571F52"/>
    <w:pPr>
      <w:spacing w:after="240"/>
      <w:outlineLvl w:val="9"/>
    </w:pPr>
    <w:rPr>
      <w:noProof/>
    </w:rPr>
  </w:style>
  <w:style w:type="paragraph" w:styleId="Index2">
    <w:name w:val="index 2"/>
    <w:basedOn w:val="Normal"/>
    <w:next w:val="Normal"/>
    <w:semiHidden/>
    <w:rsid w:val="00571F52"/>
    <w:pPr>
      <w:tabs>
        <w:tab w:val="right" w:pos="4176"/>
      </w:tabs>
      <w:ind w:left="568" w:hanging="284"/>
    </w:pPr>
    <w:rPr>
      <w:rFonts w:ascii="Garamond" w:hAnsi="Garamond"/>
    </w:rPr>
  </w:style>
  <w:style w:type="paragraph" w:customStyle="1" w:styleId="Byline">
    <w:name w:val="Byline"/>
    <w:rsid w:val="00571F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1F52"/>
    <w:pPr>
      <w:tabs>
        <w:tab w:val="clear" w:pos="3600"/>
        <w:tab w:val="clear" w:pos="3958"/>
      </w:tabs>
      <w:jc w:val="right"/>
    </w:pPr>
  </w:style>
  <w:style w:type="paragraph" w:styleId="Caption">
    <w:name w:val="caption"/>
    <w:basedOn w:val="BodyText"/>
    <w:next w:val="Normal"/>
    <w:qFormat/>
    <w:rsid w:val="00571F52"/>
    <w:pPr>
      <w:framePr w:w="2268" w:hSpace="181" w:vSpace="181" w:wrap="around" w:vAnchor="text" w:hAnchor="page" w:x="1135" w:y="285" w:anchorLock="1"/>
    </w:pPr>
    <w:rPr>
      <w:i/>
    </w:rPr>
  </w:style>
  <w:style w:type="paragraph" w:customStyle="1" w:styleId="MiniTOCTitle">
    <w:name w:val="MiniTOCTitle"/>
    <w:basedOn w:val="Heading4"/>
    <w:rsid w:val="00571F52"/>
    <w:pPr>
      <w:spacing w:before="240"/>
      <w:outlineLvl w:val="9"/>
    </w:pPr>
    <w:rPr>
      <w:noProof/>
      <w:sz w:val="24"/>
    </w:rPr>
  </w:style>
  <w:style w:type="paragraph" w:customStyle="1" w:styleId="MiniTOCItem">
    <w:name w:val="MiniTOCItem"/>
    <w:basedOn w:val="ListBullet"/>
    <w:rsid w:val="00571F52"/>
    <w:pPr>
      <w:numPr>
        <w:numId w:val="0"/>
      </w:numPr>
      <w:tabs>
        <w:tab w:val="right" w:leader="dot" w:pos="6521"/>
      </w:tabs>
      <w:spacing w:before="0" w:after="0"/>
    </w:pPr>
  </w:style>
  <w:style w:type="paragraph" w:customStyle="1" w:styleId="TOFTitle">
    <w:name w:val="TOFTitle"/>
    <w:basedOn w:val="TOCTitle"/>
    <w:rsid w:val="00571F52"/>
  </w:style>
  <w:style w:type="paragraph" w:styleId="TableofFigures">
    <w:name w:val="table of figures"/>
    <w:basedOn w:val="Normal"/>
    <w:next w:val="Normal"/>
    <w:semiHidden/>
    <w:rsid w:val="00571F52"/>
    <w:pPr>
      <w:tabs>
        <w:tab w:val="right" w:leader="dot" w:pos="9072"/>
      </w:tabs>
      <w:ind w:left="970" w:hanging="403"/>
    </w:pPr>
    <w:rPr>
      <w:rFonts w:ascii="Times New Roman" w:hAnsi="Times New Roman"/>
      <w:b/>
    </w:rPr>
  </w:style>
  <w:style w:type="paragraph" w:styleId="ListNumber">
    <w:name w:val="List Number"/>
    <w:basedOn w:val="List"/>
    <w:rsid w:val="00571F52"/>
    <w:pPr>
      <w:numPr>
        <w:numId w:val="14"/>
      </w:numPr>
      <w:tabs>
        <w:tab w:val="clear" w:pos="340"/>
      </w:tabs>
    </w:pPr>
  </w:style>
  <w:style w:type="character" w:customStyle="1" w:styleId="WingdingSymbols">
    <w:name w:val="Wingding Symbols"/>
    <w:rsid w:val="00571F52"/>
    <w:rPr>
      <w:rFonts w:ascii="Wingdings" w:hAnsi="Wingdings"/>
    </w:rPr>
  </w:style>
  <w:style w:type="paragraph" w:customStyle="1" w:styleId="TableHeading">
    <w:name w:val="Table Heading"/>
    <w:basedOn w:val="HeadingBase"/>
    <w:rsid w:val="00571F52"/>
    <w:pPr>
      <w:keepLines/>
      <w:pBdr>
        <w:bottom w:val="single" w:sz="6" w:space="1" w:color="918585"/>
      </w:pBdr>
      <w:spacing w:before="240"/>
    </w:pPr>
  </w:style>
  <w:style w:type="character" w:customStyle="1" w:styleId="HotSpot">
    <w:name w:val="HotSpot"/>
    <w:rsid w:val="00571F52"/>
    <w:rPr>
      <w:color w:val="0033CC"/>
      <w:u w:val="none"/>
    </w:rPr>
  </w:style>
  <w:style w:type="paragraph" w:customStyle="1" w:styleId="BodyTextRight">
    <w:name w:val="Body Text Right"/>
    <w:basedOn w:val="BodyText"/>
    <w:rsid w:val="00571F52"/>
    <w:pPr>
      <w:spacing w:before="0" w:after="0"/>
      <w:jc w:val="right"/>
    </w:pPr>
  </w:style>
  <w:style w:type="paragraph" w:styleId="Index3">
    <w:name w:val="index 3"/>
    <w:basedOn w:val="ListNumber2"/>
    <w:next w:val="Normal"/>
    <w:semiHidden/>
    <w:rsid w:val="00571F52"/>
    <w:pPr>
      <w:numPr>
        <w:numId w:val="0"/>
      </w:numPr>
      <w:tabs>
        <w:tab w:val="right" w:leader="dot" w:pos="4176"/>
      </w:tabs>
    </w:pPr>
  </w:style>
  <w:style w:type="paragraph" w:styleId="ListNumber2">
    <w:name w:val="List Number 2"/>
    <w:basedOn w:val="List2"/>
    <w:rsid w:val="00571F52"/>
    <w:pPr>
      <w:numPr>
        <w:numId w:val="9"/>
      </w:numPr>
      <w:tabs>
        <w:tab w:val="clear" w:pos="1060"/>
      </w:tabs>
    </w:pPr>
  </w:style>
  <w:style w:type="paragraph" w:customStyle="1" w:styleId="MarginNote">
    <w:name w:val="Margin Note"/>
    <w:basedOn w:val="BodyText"/>
    <w:rsid w:val="00571F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1F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1F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1F52"/>
    <w:rPr>
      <w:sz w:val="32"/>
    </w:rPr>
  </w:style>
  <w:style w:type="paragraph" w:customStyle="1" w:styleId="HeadingProcedure">
    <w:name w:val="Heading Procedure"/>
    <w:basedOn w:val="HeadingBase"/>
    <w:next w:val="Normal"/>
    <w:rsid w:val="00571F52"/>
    <w:pPr>
      <w:tabs>
        <w:tab w:val="left" w:pos="0"/>
      </w:tabs>
      <w:spacing w:before="120" w:after="60"/>
    </w:pPr>
    <w:rPr>
      <w:i/>
      <w:color w:val="918585"/>
      <w:sz w:val="22"/>
    </w:rPr>
  </w:style>
  <w:style w:type="paragraph" w:customStyle="1" w:styleId="TableBodyText">
    <w:name w:val="Table Body Text"/>
    <w:basedOn w:val="BodyText"/>
    <w:rsid w:val="00571F52"/>
    <w:pPr>
      <w:spacing w:before="60" w:after="60"/>
    </w:pPr>
  </w:style>
  <w:style w:type="paragraph" w:styleId="ListContinue">
    <w:name w:val="List Continue"/>
    <w:basedOn w:val="List"/>
    <w:rsid w:val="00571F52"/>
    <w:pPr>
      <w:ind w:firstLine="0"/>
    </w:pPr>
  </w:style>
  <w:style w:type="paragraph" w:customStyle="1" w:styleId="ListNote">
    <w:name w:val="List Note"/>
    <w:basedOn w:val="List"/>
    <w:rsid w:val="00571F52"/>
    <w:pPr>
      <w:pBdr>
        <w:top w:val="single" w:sz="6" w:space="2" w:color="918585"/>
        <w:bottom w:val="single" w:sz="6" w:space="2" w:color="918585"/>
      </w:pBdr>
      <w:tabs>
        <w:tab w:val="left" w:pos="1021"/>
      </w:tabs>
      <w:ind w:firstLine="0"/>
    </w:pPr>
  </w:style>
  <w:style w:type="paragraph" w:customStyle="1" w:styleId="Warning">
    <w:name w:val="Warning"/>
    <w:basedOn w:val="BodyText"/>
    <w:rsid w:val="00571F52"/>
    <w:pPr>
      <w:shd w:val="clear" w:color="auto" w:fill="D9D9D9"/>
      <w:tabs>
        <w:tab w:val="left" w:pos="992"/>
      </w:tabs>
      <w:ind w:left="119" w:right="119"/>
    </w:pPr>
    <w:rPr>
      <w:sz w:val="20"/>
    </w:rPr>
  </w:style>
  <w:style w:type="paragraph" w:customStyle="1" w:styleId="MarginIcons">
    <w:name w:val="Margin Icons"/>
    <w:basedOn w:val="BodyText"/>
    <w:rsid w:val="00571F52"/>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571F52"/>
    <w:pPr>
      <w:tabs>
        <w:tab w:val="clear" w:pos="680"/>
      </w:tabs>
      <w:spacing w:before="60" w:after="60"/>
    </w:pPr>
  </w:style>
  <w:style w:type="paragraph" w:customStyle="1" w:styleId="SubHeading2">
    <w:name w:val="SubHeading2"/>
    <w:basedOn w:val="HeadingBase"/>
    <w:rsid w:val="00571F52"/>
    <w:pPr>
      <w:spacing w:before="240" w:after="60"/>
    </w:pPr>
    <w:rPr>
      <w:sz w:val="20"/>
    </w:rPr>
  </w:style>
  <w:style w:type="paragraph" w:customStyle="1" w:styleId="SubHeading1">
    <w:name w:val="SubHeading1"/>
    <w:basedOn w:val="HeadingBase"/>
    <w:rsid w:val="00571F52"/>
    <w:pPr>
      <w:spacing w:before="240" w:after="60"/>
    </w:pPr>
    <w:rPr>
      <w:color w:val="918585"/>
      <w:sz w:val="22"/>
    </w:rPr>
  </w:style>
  <w:style w:type="paragraph" w:customStyle="1" w:styleId="SideHeading">
    <w:name w:val="Side Heading"/>
    <w:basedOn w:val="HeadingBase"/>
    <w:rsid w:val="00571F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1F52"/>
    <w:pPr>
      <w:numPr>
        <w:numId w:val="10"/>
      </w:numPr>
    </w:pPr>
  </w:style>
  <w:style w:type="paragraph" w:styleId="PlainText">
    <w:name w:val="Plain Text"/>
    <w:basedOn w:val="Normal"/>
    <w:link w:val="PlainTextChar"/>
    <w:rsid w:val="00571F52"/>
    <w:rPr>
      <w:sz w:val="20"/>
    </w:rPr>
  </w:style>
  <w:style w:type="character" w:customStyle="1" w:styleId="PlainTextChar">
    <w:name w:val="Plain Text Char"/>
    <w:basedOn w:val="DefaultParagraphFont"/>
    <w:link w:val="PlainText"/>
    <w:rsid w:val="00571F52"/>
    <w:rPr>
      <w:rFonts w:ascii="Courier New" w:eastAsia="Times New Roman" w:hAnsi="Courier New" w:cs="Times New Roman"/>
      <w:sz w:val="20"/>
      <w:szCs w:val="20"/>
      <w:lang w:eastAsia="en-US"/>
    </w:rPr>
  </w:style>
  <w:style w:type="character" w:customStyle="1" w:styleId="MenuOption">
    <w:name w:val="Menu Option"/>
    <w:basedOn w:val="DefaultParagraphFont"/>
    <w:rsid w:val="00571F52"/>
    <w:rPr>
      <w:b/>
      <w:smallCaps/>
    </w:rPr>
  </w:style>
  <w:style w:type="paragraph" w:customStyle="1" w:styleId="TableListNumber">
    <w:name w:val="Table List Number"/>
    <w:basedOn w:val="ListNumber"/>
    <w:rsid w:val="00571F52"/>
    <w:pPr>
      <w:numPr>
        <w:numId w:val="0"/>
      </w:numPr>
    </w:pPr>
  </w:style>
  <w:style w:type="paragraph" w:styleId="TOC4">
    <w:name w:val="toc 4"/>
    <w:basedOn w:val="TOCBase"/>
    <w:next w:val="Normal"/>
    <w:semiHidden/>
    <w:rsid w:val="00571F52"/>
    <w:pPr>
      <w:tabs>
        <w:tab w:val="right" w:leader="dot" w:pos="9071"/>
      </w:tabs>
      <w:ind w:left="1701"/>
    </w:pPr>
  </w:style>
  <w:style w:type="paragraph" w:customStyle="1" w:styleId="ListAlpha">
    <w:name w:val="List Alpha"/>
    <w:basedOn w:val="List"/>
    <w:rsid w:val="00571F52"/>
    <w:pPr>
      <w:numPr>
        <w:numId w:val="8"/>
      </w:numPr>
    </w:pPr>
  </w:style>
  <w:style w:type="paragraph" w:customStyle="1" w:styleId="ListAlpha2">
    <w:name w:val="List Alpha 2"/>
    <w:basedOn w:val="List2"/>
    <w:rsid w:val="00571F52"/>
    <w:pPr>
      <w:numPr>
        <w:numId w:val="7"/>
      </w:numPr>
    </w:pPr>
  </w:style>
  <w:style w:type="paragraph" w:styleId="List2">
    <w:name w:val="List 2"/>
    <w:basedOn w:val="BodyText"/>
    <w:rsid w:val="00571F52"/>
    <w:pPr>
      <w:tabs>
        <w:tab w:val="left" w:pos="680"/>
      </w:tabs>
      <w:spacing w:before="60" w:after="60"/>
      <w:ind w:left="680" w:hanging="340"/>
    </w:pPr>
  </w:style>
  <w:style w:type="paragraph" w:styleId="List3">
    <w:name w:val="List 3"/>
    <w:basedOn w:val="BodyText"/>
    <w:rsid w:val="00571F52"/>
    <w:pPr>
      <w:tabs>
        <w:tab w:val="left" w:pos="1021"/>
      </w:tabs>
      <w:spacing w:before="60" w:after="60"/>
      <w:ind w:left="1020" w:hanging="340"/>
    </w:pPr>
  </w:style>
  <w:style w:type="paragraph" w:styleId="List4">
    <w:name w:val="List 4"/>
    <w:basedOn w:val="BodyText"/>
    <w:rsid w:val="00571F52"/>
    <w:pPr>
      <w:tabs>
        <w:tab w:val="left" w:pos="1361"/>
      </w:tabs>
      <w:spacing w:before="60" w:after="60"/>
      <w:ind w:left="1361" w:hanging="340"/>
    </w:pPr>
  </w:style>
  <w:style w:type="paragraph" w:styleId="List5">
    <w:name w:val="List 5"/>
    <w:basedOn w:val="BodyText"/>
    <w:rsid w:val="00571F52"/>
    <w:pPr>
      <w:tabs>
        <w:tab w:val="left" w:pos="1701"/>
      </w:tabs>
      <w:spacing w:before="60" w:after="60"/>
      <w:ind w:left="1701" w:hanging="340"/>
    </w:pPr>
  </w:style>
  <w:style w:type="paragraph" w:styleId="ListBullet3">
    <w:name w:val="List Bullet 3"/>
    <w:basedOn w:val="List3"/>
    <w:rsid w:val="00571F52"/>
    <w:pPr>
      <w:numPr>
        <w:numId w:val="13"/>
      </w:numPr>
      <w:tabs>
        <w:tab w:val="clear" w:pos="1021"/>
      </w:tabs>
      <w:ind w:left="1037" w:hanging="357"/>
    </w:pPr>
  </w:style>
  <w:style w:type="paragraph" w:styleId="ListBullet4">
    <w:name w:val="List Bullet 4"/>
    <w:basedOn w:val="List4"/>
    <w:rsid w:val="00571F52"/>
    <w:pPr>
      <w:numPr>
        <w:numId w:val="2"/>
      </w:numPr>
      <w:tabs>
        <w:tab w:val="clear" w:pos="1361"/>
      </w:tabs>
    </w:pPr>
  </w:style>
  <w:style w:type="paragraph" w:styleId="ListBullet5">
    <w:name w:val="List Bullet 5"/>
    <w:basedOn w:val="List5"/>
    <w:rsid w:val="00571F52"/>
    <w:pPr>
      <w:numPr>
        <w:numId w:val="3"/>
      </w:numPr>
    </w:pPr>
  </w:style>
  <w:style w:type="paragraph" w:styleId="ListContinue2">
    <w:name w:val="List Continue 2"/>
    <w:basedOn w:val="List2"/>
    <w:rsid w:val="00571F52"/>
    <w:pPr>
      <w:ind w:firstLine="0"/>
    </w:pPr>
  </w:style>
  <w:style w:type="paragraph" w:styleId="ListContinue3">
    <w:name w:val="List Continue 3"/>
    <w:basedOn w:val="List3"/>
    <w:rsid w:val="00571F52"/>
    <w:pPr>
      <w:ind w:left="1021" w:firstLine="0"/>
    </w:pPr>
  </w:style>
  <w:style w:type="paragraph" w:styleId="ListContinue4">
    <w:name w:val="List Continue 4"/>
    <w:basedOn w:val="List4"/>
    <w:rsid w:val="00571F52"/>
    <w:pPr>
      <w:ind w:firstLine="0"/>
    </w:pPr>
  </w:style>
  <w:style w:type="paragraph" w:styleId="ListContinue5">
    <w:name w:val="List Continue 5"/>
    <w:basedOn w:val="List5"/>
    <w:rsid w:val="00571F52"/>
    <w:pPr>
      <w:ind w:firstLine="0"/>
    </w:pPr>
  </w:style>
  <w:style w:type="paragraph" w:styleId="ListNumber3">
    <w:name w:val="List Number 3"/>
    <w:basedOn w:val="List3"/>
    <w:rsid w:val="00571F52"/>
    <w:pPr>
      <w:numPr>
        <w:numId w:val="4"/>
      </w:numPr>
    </w:pPr>
  </w:style>
  <w:style w:type="paragraph" w:styleId="ListNumber4">
    <w:name w:val="List Number 4"/>
    <w:basedOn w:val="List4"/>
    <w:rsid w:val="00571F52"/>
    <w:pPr>
      <w:numPr>
        <w:numId w:val="5"/>
      </w:numPr>
    </w:pPr>
  </w:style>
  <w:style w:type="paragraph" w:styleId="ListNumber5">
    <w:name w:val="List Number 5"/>
    <w:basedOn w:val="List5"/>
    <w:rsid w:val="00571F52"/>
    <w:pPr>
      <w:numPr>
        <w:numId w:val="6"/>
      </w:numPr>
    </w:pPr>
  </w:style>
  <w:style w:type="paragraph" w:styleId="BlockText">
    <w:name w:val="Block Text"/>
    <w:basedOn w:val="Normal"/>
    <w:rsid w:val="00571F52"/>
    <w:pPr>
      <w:spacing w:after="120"/>
      <w:ind w:left="1440" w:right="1440"/>
    </w:pPr>
  </w:style>
  <w:style w:type="character" w:customStyle="1" w:styleId="Subscript">
    <w:name w:val="Subscript"/>
    <w:basedOn w:val="DefaultParagraphFont"/>
    <w:rsid w:val="00571F52"/>
    <w:rPr>
      <w:sz w:val="16"/>
      <w:vertAlign w:val="subscript"/>
    </w:rPr>
  </w:style>
  <w:style w:type="character" w:customStyle="1" w:styleId="Superscript">
    <w:name w:val="Superscript"/>
    <w:basedOn w:val="DefaultParagraphFont"/>
    <w:rsid w:val="00571F52"/>
    <w:rPr>
      <w:sz w:val="16"/>
      <w:vertAlign w:val="superscript"/>
    </w:rPr>
  </w:style>
  <w:style w:type="character" w:customStyle="1" w:styleId="Symbols">
    <w:name w:val="Symbols"/>
    <w:basedOn w:val="DefaultParagraphFont"/>
    <w:rsid w:val="00571F52"/>
    <w:rPr>
      <w:rFonts w:ascii="Symbol" w:hAnsi="Symbol"/>
    </w:rPr>
  </w:style>
  <w:style w:type="character" w:customStyle="1" w:styleId="MenuOptions">
    <w:name w:val="Menu Options"/>
    <w:basedOn w:val="DefaultParagraphFont"/>
    <w:rsid w:val="00571F52"/>
    <w:rPr>
      <w:rFonts w:ascii="Arial Narrow" w:hAnsi="Arial Narrow"/>
      <w:smallCaps/>
    </w:rPr>
  </w:style>
  <w:style w:type="character" w:customStyle="1" w:styleId="Buttons">
    <w:name w:val="Buttons"/>
    <w:basedOn w:val="DefaultParagraphFont"/>
    <w:rsid w:val="00571F52"/>
    <w:rPr>
      <w:b/>
    </w:rPr>
  </w:style>
  <w:style w:type="character" w:customStyle="1" w:styleId="Underlined">
    <w:name w:val="Underlined"/>
    <w:basedOn w:val="DefaultParagraphFont"/>
    <w:rsid w:val="00571F52"/>
    <w:rPr>
      <w:u w:val="single"/>
    </w:rPr>
  </w:style>
  <w:style w:type="paragraph" w:customStyle="1" w:styleId="TableBodyTextRight">
    <w:name w:val="Table Body Text Right"/>
    <w:basedOn w:val="TableBodyText"/>
    <w:rsid w:val="00571F52"/>
    <w:pPr>
      <w:widowControl w:val="0"/>
      <w:autoSpaceDE w:val="0"/>
      <w:autoSpaceDN w:val="0"/>
      <w:adjustRightInd w:val="0"/>
      <w:jc w:val="right"/>
    </w:pPr>
    <w:rPr>
      <w:rFonts w:cs="Arial"/>
      <w:szCs w:val="18"/>
    </w:rPr>
  </w:style>
  <w:style w:type="paragraph" w:customStyle="1" w:styleId="CopyrightText">
    <w:name w:val="Copyright Text"/>
    <w:basedOn w:val="BodyText"/>
    <w:rsid w:val="00571F52"/>
    <w:rPr>
      <w:sz w:val="18"/>
    </w:rPr>
  </w:style>
  <w:style w:type="paragraph" w:customStyle="1" w:styleId="BodySmallRight">
    <w:name w:val="Body Small Right"/>
    <w:basedOn w:val="BodyTextRight"/>
    <w:rsid w:val="00571F52"/>
    <w:rPr>
      <w:sz w:val="18"/>
      <w:szCs w:val="18"/>
    </w:rPr>
  </w:style>
  <w:style w:type="paragraph" w:customStyle="1" w:styleId="MarginEdition">
    <w:name w:val="Margin Edition"/>
    <w:basedOn w:val="MarginNote"/>
    <w:rsid w:val="00571F52"/>
    <w:pPr>
      <w:spacing w:before="0" w:after="0"/>
    </w:pPr>
    <w:rPr>
      <w:rFonts w:ascii="Times New Roman" w:hAnsi="Times New Roman"/>
      <w:color w:val="999999"/>
    </w:rPr>
  </w:style>
  <w:style w:type="paragraph" w:customStyle="1" w:styleId="Spacer">
    <w:name w:val="Spacer"/>
    <w:basedOn w:val="Normal"/>
    <w:rsid w:val="00571F52"/>
    <w:rPr>
      <w:sz w:val="2"/>
      <w:szCs w:val="2"/>
    </w:rPr>
  </w:style>
  <w:style w:type="character" w:customStyle="1" w:styleId="Small">
    <w:name w:val="Small"/>
    <w:basedOn w:val="DefaultParagraphFont"/>
    <w:rsid w:val="00571F52"/>
    <w:rPr>
      <w:sz w:val="16"/>
    </w:rPr>
  </w:style>
  <w:style w:type="paragraph" w:customStyle="1" w:styleId="WideTable">
    <w:name w:val="Wide Table"/>
    <w:basedOn w:val="Normal"/>
    <w:rsid w:val="00571F52"/>
    <w:pPr>
      <w:ind w:left="-1418"/>
    </w:pPr>
    <w:rPr>
      <w:sz w:val="2"/>
      <w:szCs w:val="2"/>
    </w:rPr>
  </w:style>
  <w:style w:type="character" w:styleId="PageNumber">
    <w:name w:val="page number"/>
    <w:basedOn w:val="DefaultParagraphFont"/>
    <w:rsid w:val="00571F52"/>
  </w:style>
  <w:style w:type="paragraph" w:styleId="Quote">
    <w:name w:val="Quote"/>
    <w:basedOn w:val="Heading1"/>
    <w:link w:val="QuoteChar"/>
    <w:qFormat/>
    <w:rsid w:val="00571F52"/>
    <w:rPr>
      <w:b w:val="0"/>
      <w:sz w:val="72"/>
      <w:szCs w:val="72"/>
      <w:lang w:val="en-NZ"/>
    </w:rPr>
  </w:style>
  <w:style w:type="character" w:customStyle="1" w:styleId="QuoteChar">
    <w:name w:val="Quote Char"/>
    <w:basedOn w:val="DefaultParagraphFont"/>
    <w:link w:val="Quote"/>
    <w:rsid w:val="00571F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1F52"/>
    <w:pPr>
      <w:pageBreakBefore/>
    </w:pPr>
  </w:style>
  <w:style w:type="paragraph" w:customStyle="1" w:styleId="Border">
    <w:name w:val="Border"/>
    <w:basedOn w:val="Normal"/>
    <w:qFormat/>
    <w:rsid w:val="00571F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1F52"/>
    <w:rPr>
      <w:b/>
      <w:bCs/>
      <w:i/>
      <w:iCs/>
      <w:color w:val="auto"/>
    </w:rPr>
  </w:style>
  <w:style w:type="paragraph" w:styleId="IntenseQuote">
    <w:name w:val="Intense Quote"/>
    <w:basedOn w:val="Normal"/>
    <w:next w:val="Normal"/>
    <w:link w:val="IntenseQuoteChar"/>
    <w:uiPriority w:val="30"/>
    <w:qFormat/>
    <w:rsid w:val="00571F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1F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1F52"/>
    <w:rPr>
      <w:smallCaps/>
      <w:color w:val="auto"/>
      <w:u w:val="single"/>
    </w:rPr>
  </w:style>
  <w:style w:type="character" w:styleId="IntenseReference">
    <w:name w:val="Intense Reference"/>
    <w:basedOn w:val="DefaultParagraphFont"/>
    <w:uiPriority w:val="32"/>
    <w:qFormat/>
    <w:rsid w:val="00571F52"/>
    <w:rPr>
      <w:b/>
      <w:bCs/>
      <w:smallCaps/>
      <w:color w:val="auto"/>
      <w:spacing w:val="5"/>
      <w:u w:val="single"/>
    </w:rPr>
  </w:style>
  <w:style w:type="paragraph" w:customStyle="1" w:styleId="2ColumnHeading">
    <w:name w:val="2Column Heading"/>
    <w:basedOn w:val="BodyText"/>
    <w:qFormat/>
    <w:rsid w:val="00571F52"/>
    <w:pPr>
      <w:spacing w:after="60"/>
      <w:ind w:left="-2268"/>
    </w:pPr>
    <w:rPr>
      <w:b/>
    </w:rPr>
  </w:style>
  <w:style w:type="paragraph" w:customStyle="1" w:styleId="Heading1TOC">
    <w:name w:val="Heading1 TOC"/>
    <w:basedOn w:val="Normal"/>
    <w:qFormat/>
    <w:rsid w:val="00571F52"/>
    <w:pPr>
      <w:spacing w:before="240" w:after="120"/>
    </w:pPr>
    <w:rPr>
      <w:rFonts w:ascii="Times New Roman" w:hAnsi="Times New Roman"/>
      <w:b/>
      <w:sz w:val="32"/>
    </w:rPr>
  </w:style>
  <w:style w:type="paragraph" w:customStyle="1" w:styleId="Heading2TOC">
    <w:name w:val="Heading2 TOC"/>
    <w:basedOn w:val="Normal"/>
    <w:qFormat/>
    <w:rsid w:val="00571F52"/>
    <w:pPr>
      <w:spacing w:before="240" w:after="60"/>
    </w:pPr>
    <w:rPr>
      <w:rFonts w:ascii="Times New Roman" w:hAnsi="Times New Roman"/>
      <w:b/>
      <w:sz w:val="28"/>
    </w:rPr>
  </w:style>
  <w:style w:type="character" w:customStyle="1" w:styleId="Underline">
    <w:name w:val="Underline"/>
    <w:basedOn w:val="DefaultParagraphFont"/>
    <w:qFormat/>
    <w:rsid w:val="00571F52"/>
    <w:rPr>
      <w:u w:val="single"/>
    </w:rPr>
  </w:style>
  <w:style w:type="character" w:customStyle="1" w:styleId="BoldandItalics">
    <w:name w:val="Bold and Italics"/>
    <w:qFormat/>
    <w:rsid w:val="00571F52"/>
    <w:rPr>
      <w:b/>
      <w:i/>
      <w:u w:val="none"/>
    </w:rPr>
  </w:style>
  <w:style w:type="paragraph" w:styleId="BalloonText">
    <w:name w:val="Balloon Text"/>
    <w:basedOn w:val="Normal"/>
    <w:link w:val="BalloonTextChar"/>
    <w:rsid w:val="00571F52"/>
    <w:rPr>
      <w:rFonts w:ascii="Tahoma" w:hAnsi="Tahoma" w:cs="Tahoma"/>
      <w:sz w:val="16"/>
      <w:szCs w:val="16"/>
    </w:rPr>
  </w:style>
  <w:style w:type="character" w:customStyle="1" w:styleId="BalloonTextChar">
    <w:name w:val="Balloon Text Char"/>
    <w:basedOn w:val="DefaultParagraphFont"/>
    <w:link w:val="BalloonText"/>
    <w:rsid w:val="00571F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1F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1F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1F52"/>
    <w:rPr>
      <w:b/>
      <w:color w:val="660033"/>
      <w:spacing w:val="0"/>
    </w:rPr>
  </w:style>
  <w:style w:type="paragraph" w:customStyle="1" w:styleId="Nameditemlist">
    <w:name w:val="Named item list"/>
    <w:basedOn w:val="BodyText"/>
    <w:qFormat/>
    <w:rsid w:val="00571F52"/>
    <w:pPr>
      <w:tabs>
        <w:tab w:val="left" w:pos="2835"/>
      </w:tabs>
      <w:ind w:left="2835" w:hanging="2835"/>
    </w:pPr>
  </w:style>
  <w:style w:type="paragraph" w:customStyle="1" w:styleId="BodyTextnopadding">
    <w:name w:val="Body Text no padding"/>
    <w:basedOn w:val="BodyText"/>
    <w:qFormat/>
    <w:rsid w:val="00571F52"/>
    <w:pPr>
      <w:spacing w:before="0" w:after="0"/>
    </w:pPr>
  </w:style>
  <w:style w:type="paragraph" w:customStyle="1" w:styleId="BodyTextBold">
    <w:name w:val="Body Text Bold"/>
    <w:basedOn w:val="BodyText"/>
    <w:qFormat/>
    <w:rsid w:val="00571F52"/>
    <w:rPr>
      <w:b/>
    </w:rPr>
  </w:style>
  <w:style w:type="character" w:styleId="Hyperlink">
    <w:name w:val="Hyperlink"/>
    <w:basedOn w:val="DefaultParagraphFont"/>
    <w:uiPriority w:val="99"/>
    <w:unhideWhenUsed/>
    <w:rsid w:val="00F36C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689</Words>
  <Characters>4357</Characters>
  <Application>Microsoft Office Word</Application>
  <DocSecurity>0</DocSecurity>
  <Lines>161</Lines>
  <Paragraphs>75</Paragraphs>
  <ScaleCrop>false</ScaleCrop>
  <Company>Author-it Software Corporation Ltd.</Company>
  <LinksUpToDate>false</LinksUpToDate>
  <CharactersWithSpaces>4971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MSL975030 Perform immunohaematological tests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2021-10-27T23:09:00Z</dcterms:created>
  <dcterms:modified xsi:type="dcterms:W3CDTF">2021-10-27T23:09:00Z</dcterms:modified>
</cp:coreProperties>
</file>