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49A" w:rsidP="00113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MSL975030 Perform immunohaematological tests</w:t>
      </w:r>
      <w:r>
        <w:fldChar w:fldCharType="end"/>
      </w:r>
    </w:p>
    <w:p w:rsidR="0011349A" w:rsidP="0011349A">
      <w:pPr>
        <w:pStyle w:val="Version"/>
        <w:sectPr w:rsidSect="005D0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665" w:rsidP="005D0665">
      <w:pPr>
        <w:pStyle w:val="SuperHeading"/>
      </w:pPr>
      <w:r w:rsidRPr="005D0665">
        <w:t>Assessment Requirements for MSL975030 Perform immunohaematological tests</w:t>
      </w:r>
    </w:p>
    <w:p w:rsidR="00000000" w:rsidRPr="005D0665" w:rsidP="005D0665">
      <w:pPr>
        <w:pStyle w:val="Heading1"/>
      </w:pPr>
      <w:bookmarkStart w:id="1" w:name="O_974749"/>
      <w:bookmarkEnd w:id="1"/>
      <w:r w:rsidRPr="005D0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5D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665" w:rsidP="005D0665">
            <w:pPr>
              <w:pStyle w:val="BodyText"/>
            </w:pPr>
            <w:r w:rsidRPr="005D0665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0665">
            <w:pPr>
              <w:pStyle w:val="BodyText"/>
              <w:rPr>
                <w:lang w:val="en-NZ"/>
              </w:rPr>
            </w:pPr>
            <w:r w:rsidRPr="005D0665">
              <w:rPr>
                <w:rStyle w:val="SpecialBold"/>
              </w:rPr>
              <w:t>Comments</w:t>
            </w:r>
          </w:p>
        </w:tc>
      </w:tr>
      <w:tr w:rsidTr="005D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65">
            <w:pPr>
              <w:pStyle w:val="BodyText"/>
              <w:rPr>
                <w:lang w:val="en-NZ"/>
              </w:rPr>
            </w:pPr>
            <w:r w:rsidRPr="005D0665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65" w:rsidP="005D0665">
            <w:pPr>
              <w:pStyle w:val="BodyText"/>
            </w:pPr>
            <w:r w:rsidRPr="005D0665">
              <w:t xml:space="preserve">This version was released in </w:t>
            </w:r>
            <w:r w:rsidRPr="005D0665">
              <w:rPr>
                <w:rStyle w:val="Emphasis"/>
              </w:rPr>
              <w:t>MSL Laboratory Operations Training Package Release 2.0.</w:t>
            </w:r>
          </w:p>
          <w:p w:rsidR="00000000" w:rsidRPr="005D0665" w:rsidP="005D0665">
            <w:pPr>
              <w:pStyle w:val="BodyText"/>
            </w:pPr>
            <w:r w:rsidRPr="005D0665">
              <w:t xml:space="preserve">Supersedes and equivalent to </w:t>
            </w:r>
            <w:r w:rsidRPr="005D0665">
              <w:rPr>
                <w:rStyle w:val="Emphasis"/>
              </w:rPr>
              <w:t>MSL975006 Perform immunohaematological tests</w:t>
            </w:r>
            <w:r w:rsidRPr="005D0665">
              <w:t xml:space="preserve">. Pre-requisite removed. Changes to elements and performance criteria. Foundation skill information added. Range of conditions removed. Assessment requirements amended. </w:t>
            </w:r>
          </w:p>
          <w:p w:rsidR="00000000" w:rsidRPr="005D0665" w:rsidP="005D0665">
            <w:pPr>
              <w:pStyle w:val="BodyText"/>
            </w:pPr>
          </w:p>
        </w:tc>
      </w:tr>
    </w:tbl>
    <w:p w:rsidR="00000000" w:rsidRPr="005D0665" w:rsidP="005D0665">
      <w:pPr>
        <w:pStyle w:val="BodyText"/>
      </w:pPr>
    </w:p>
    <w:p w:rsidR="00000000" w:rsidRPr="005D0665" w:rsidP="005D0665">
      <w:pPr>
        <w:pStyle w:val="AllowPageBreak"/>
      </w:pPr>
    </w:p>
    <w:p w:rsidR="00000000" w:rsidRPr="005D0665" w:rsidP="005D0665">
      <w:pPr>
        <w:pStyle w:val="Heading1"/>
      </w:pPr>
      <w:bookmarkStart w:id="2" w:name="O_974750"/>
      <w:bookmarkEnd w:id="2"/>
      <w:r w:rsidRPr="005D0665">
        <w:t>Performance Evidence</w:t>
      </w:r>
    </w:p>
    <w:p w:rsidR="00000000" w:rsidRPr="005D0665" w:rsidP="0011349A">
      <w:pPr>
        <w:pStyle w:val="BodyText"/>
      </w:pPr>
      <w:r w:rsidRPr="005D0665">
        <w:t>T</w:t>
      </w:r>
      <w:r w:rsidRPr="005D0665">
        <w:t>here must be evidence the candidate has completed the tasks outlined in the elements and performance criteria of this unit, and:</w:t>
      </w:r>
    </w:p>
    <w:p w:rsidR="00000000" w:rsidRPr="005D0665" w:rsidP="005D0665">
      <w:pPr>
        <w:pStyle w:val="ListBullet"/>
      </w:pPr>
      <w:r w:rsidRPr="005D0665">
        <w:t>safely performed and interpret at least 5 immunohaematological tests following the laboratory</w:t>
      </w:r>
      <w:r>
        <w:t>’</w:t>
      </w:r>
      <w:r w:rsidRPr="005D0665">
        <w:t>s validated and authorised proce</w:t>
      </w:r>
      <w:r w:rsidRPr="005D0665">
        <w:t>dures, including:</w:t>
      </w:r>
    </w:p>
    <w:p w:rsidR="00000000" w:rsidRPr="005D0665" w:rsidP="005D0665">
      <w:pPr>
        <w:pStyle w:val="ListBullet2"/>
      </w:pPr>
      <w:r w:rsidRPr="005D0665">
        <w:t>forward and reverse ABO typing</w:t>
      </w:r>
    </w:p>
    <w:p w:rsidR="00000000" w:rsidRPr="005D0665" w:rsidP="005D0665">
      <w:pPr>
        <w:pStyle w:val="ListBullet2"/>
      </w:pPr>
      <w:r w:rsidRPr="005D0665">
        <w:t>RhD phenotyping</w:t>
      </w:r>
    </w:p>
    <w:p w:rsidR="00000000" w:rsidRPr="005D0665" w:rsidP="005D0665">
      <w:pPr>
        <w:pStyle w:val="ListBullet2"/>
      </w:pPr>
      <w:r w:rsidRPr="005D0665">
        <w:t>three cell screen</w:t>
      </w:r>
    </w:p>
    <w:p w:rsidR="00000000" w:rsidRPr="005D0665" w:rsidP="005D0665">
      <w:pPr>
        <w:pStyle w:val="ListBullet2"/>
      </w:pPr>
      <w:r w:rsidRPr="005D0665">
        <w:t>eleven cell panel</w:t>
      </w:r>
    </w:p>
    <w:p w:rsidR="00000000" w:rsidRPr="005D0665" w:rsidP="005D0665">
      <w:pPr>
        <w:pStyle w:val="ListBullet2"/>
      </w:pPr>
      <w:r w:rsidRPr="005D0665">
        <w:t>direct antiglobulin test</w:t>
      </w:r>
    </w:p>
    <w:p w:rsidR="00000000" w:rsidRPr="005D0665" w:rsidP="005D0665">
      <w:pPr>
        <w:pStyle w:val="ListBullet2"/>
      </w:pPr>
      <w:r w:rsidRPr="005D0665">
        <w:t>with 100% accuracy of patient identification in all steps</w:t>
      </w:r>
    </w:p>
    <w:p w:rsidR="00000000" w:rsidRPr="005D0665" w:rsidP="005D0665">
      <w:pPr>
        <w:pStyle w:val="ListBullet"/>
      </w:pPr>
      <w:r w:rsidRPr="005D0665">
        <w:t>performing tests accurately and organising work to ensure the timely release of blood and blood products and needs of relevant patients and clients are met.</w:t>
      </w:r>
    </w:p>
    <w:p w:rsidR="00000000" w:rsidRPr="005D0665" w:rsidP="005D0665">
      <w:pPr>
        <w:pStyle w:val="AllowPageBreak"/>
      </w:pPr>
    </w:p>
    <w:p w:rsidR="00000000" w:rsidRPr="005D0665" w:rsidP="005D0665">
      <w:pPr>
        <w:pStyle w:val="Heading1"/>
      </w:pPr>
      <w:bookmarkStart w:id="3" w:name="O_974751"/>
      <w:bookmarkEnd w:id="3"/>
      <w:r w:rsidRPr="005D0665">
        <w:t>Knowledge Evidence</w:t>
      </w:r>
    </w:p>
    <w:p w:rsidR="00000000" w:rsidRPr="005D0665" w:rsidP="0011349A">
      <w:pPr>
        <w:pStyle w:val="BodyText"/>
      </w:pPr>
      <w:r w:rsidRPr="005D0665">
        <w:t>There must be evidence the candidate has knowledge of:</w:t>
      </w:r>
    </w:p>
    <w:p w:rsidR="00000000" w:rsidRPr="005D0665" w:rsidP="005D0665">
      <w:pPr>
        <w:pStyle w:val="ListBullet"/>
      </w:pPr>
      <w:r w:rsidRPr="005D0665">
        <w:t>scienti</w:t>
      </w:r>
      <w:r w:rsidRPr="005D0665">
        <w:t>fic, medical, clinical, technical and workplace terminology relevant to normal and abnormal anatomy, physiology, biochemistry, immunology and immunohaematology</w:t>
      </w:r>
    </w:p>
    <w:p w:rsidR="00000000" w:rsidRPr="005D0665" w:rsidP="005D0665">
      <w:pPr>
        <w:pStyle w:val="ListBullet"/>
      </w:pPr>
      <w:r w:rsidRPr="005D0665">
        <w:t>immunological concepts including:</w:t>
      </w:r>
    </w:p>
    <w:p w:rsidR="00000000" w:rsidRPr="005D0665" w:rsidP="005D0665">
      <w:pPr>
        <w:pStyle w:val="ListBullet2"/>
      </w:pPr>
      <w:r w:rsidRPr="005D0665">
        <w:t>acquired immunity</w:t>
      </w:r>
    </w:p>
    <w:p w:rsidR="00000000" w:rsidRPr="005D0665" w:rsidP="005D0665">
      <w:pPr>
        <w:pStyle w:val="ListBullet2"/>
      </w:pPr>
      <w:r w:rsidRPr="005D0665">
        <w:t>antibody structure and function</w:t>
      </w:r>
    </w:p>
    <w:p w:rsidR="00000000" w:rsidRPr="005D0665" w:rsidP="005D0665">
      <w:pPr>
        <w:pStyle w:val="ListBullet2"/>
      </w:pPr>
      <w:r w:rsidRPr="005D0665">
        <w:t>antigen antibody reactions</w:t>
      </w:r>
    </w:p>
    <w:p w:rsidR="00000000" w:rsidRPr="005D0665" w:rsidP="005D0665">
      <w:pPr>
        <w:pStyle w:val="ListBullet"/>
      </w:pPr>
      <w:r w:rsidRPr="005D0665">
        <w:t>principle and purpose of test methods implemented (why they are used and what they demonstrate)</w:t>
      </w:r>
    </w:p>
    <w:p w:rsidR="00000000" w:rsidRPr="005D0665" w:rsidP="005D0665">
      <w:pPr>
        <w:pStyle w:val="ListBullet"/>
      </w:pPr>
      <w:r w:rsidRPr="005D0665">
        <w:t>basic principles of transfusion reactions</w:t>
      </w:r>
    </w:p>
    <w:p w:rsidR="00000000" w:rsidRPr="005D0665" w:rsidP="005D0665">
      <w:pPr>
        <w:pStyle w:val="ListBullet"/>
      </w:pPr>
      <w:r w:rsidRPr="005D0665">
        <w:t>types of blood products and their use</w:t>
      </w:r>
    </w:p>
    <w:p w:rsidR="00000000" w:rsidRPr="005D0665" w:rsidP="005D0665">
      <w:pPr>
        <w:pStyle w:val="ListBullet"/>
      </w:pPr>
      <w:r w:rsidRPr="005D0665">
        <w:t>what blood products can be issued in an emergency tr</w:t>
      </w:r>
      <w:r w:rsidRPr="005D0665">
        <w:t>ansfusion</w:t>
      </w:r>
    </w:p>
    <w:p w:rsidR="00000000" w:rsidRPr="005D0665" w:rsidP="005D0665">
      <w:pPr>
        <w:pStyle w:val="ListBullet"/>
      </w:pPr>
      <w:r w:rsidRPr="005D0665">
        <w:t>actions required when result interpretation is outside parameters of authorised approval</w:t>
      </w:r>
    </w:p>
    <w:p w:rsidR="00000000" w:rsidRPr="005D0665" w:rsidP="005D0665">
      <w:pPr>
        <w:pStyle w:val="ListBullet"/>
      </w:pPr>
      <w:r w:rsidRPr="005D0665">
        <w:t>relationships that exist between the storage conditions for transfusion products and commercial reagents and the test results</w:t>
      </w:r>
    </w:p>
    <w:p w:rsidR="00000000" w:rsidRPr="005D0665" w:rsidP="005D0665">
      <w:pPr>
        <w:pStyle w:val="ListBullet"/>
      </w:pPr>
      <w:r w:rsidRPr="005D0665">
        <w:t>relationships that exist betwee</w:t>
      </w:r>
      <w:r w:rsidRPr="005D0665">
        <w:t xml:space="preserve">n the transport conditions for transfusion products and their safe and timely delivery </w:t>
      </w:r>
    </w:p>
    <w:p w:rsidR="00000000" w:rsidRPr="005D0665" w:rsidP="005D0665">
      <w:pPr>
        <w:pStyle w:val="ListBullet"/>
      </w:pPr>
      <w:r w:rsidRPr="005D0665">
        <w:t>technological advances in immunohaematology including automation such as computer cross matching and genotyping to determine blood group</w:t>
      </w:r>
    </w:p>
    <w:p w:rsidR="00000000" w:rsidRPr="005D0665" w:rsidP="005D0665">
      <w:pPr>
        <w:pStyle w:val="ListBullet"/>
      </w:pPr>
      <w:r w:rsidRPr="005D0665">
        <w:t>National Pathology Accreditatio</w:t>
      </w:r>
      <w:r w:rsidRPr="005D0665">
        <w:t>n Advisory Council (NPAAC) standards for pretransfusion testing</w:t>
      </w:r>
    </w:p>
    <w:p w:rsidR="00000000" w:rsidRPr="005D0665" w:rsidP="005D0665">
      <w:pPr>
        <w:pStyle w:val="ListBullet"/>
      </w:pPr>
      <w:r w:rsidRPr="005D0665">
        <w:t>awareness of environmental sustainability issues as they relate to the work task</w:t>
      </w:r>
    </w:p>
    <w:p w:rsidR="00000000" w:rsidRPr="005D0665" w:rsidP="005D0665">
      <w:pPr>
        <w:pStyle w:val="ListBullet"/>
      </w:pPr>
      <w:r w:rsidRPr="005D0665">
        <w:t xml:space="preserve">legal, ethical and work health and safety (WHS) requirements specific to the work task including traceability, </w:t>
      </w:r>
      <w:r w:rsidRPr="005D0665">
        <w:t>confidentiality and security requirements of all clinical information, and laboratory data and records.</w:t>
      </w:r>
    </w:p>
    <w:p w:rsidR="00000000" w:rsidRPr="005D0665" w:rsidP="005D0665">
      <w:pPr>
        <w:pStyle w:val="AllowPageBreak"/>
      </w:pPr>
    </w:p>
    <w:p w:rsidR="00000000" w:rsidRPr="005D0665" w:rsidP="005D0665">
      <w:pPr>
        <w:pStyle w:val="Heading1"/>
      </w:pPr>
      <w:bookmarkStart w:id="4" w:name="O_974752"/>
      <w:bookmarkEnd w:id="4"/>
      <w:r w:rsidRPr="005D0665">
        <w:t>Assessment Conditions</w:t>
      </w:r>
    </w:p>
    <w:p w:rsidR="00000000" w:rsidRPr="005D0665" w:rsidP="0011349A">
      <w:pPr>
        <w:pStyle w:val="BodyText"/>
      </w:pPr>
      <w:r w:rsidRPr="005D066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D0665" w:rsidP="005D0665">
      <w:pPr>
        <w:pStyle w:val="ListBullet"/>
      </w:pPr>
      <w:r w:rsidRPr="005D0665">
        <w:t xml:space="preserve">use of suitable facilities, equipment and resources, including: </w:t>
      </w:r>
    </w:p>
    <w:p w:rsidR="00000000" w:rsidRPr="005D0665" w:rsidP="005D0665">
      <w:pPr>
        <w:pStyle w:val="ListBullet2"/>
      </w:pPr>
      <w:r w:rsidRPr="005D0665">
        <w:t>a standard transfusion/immunohaematology laboratory with relevant equipment, samples, reagents, laboratory information management system, databases and record/filing system</w:t>
      </w:r>
    </w:p>
    <w:p w:rsidR="00000000" w:rsidRPr="005D0665" w:rsidP="005D0665">
      <w:pPr>
        <w:pStyle w:val="ListBullet2"/>
      </w:pPr>
      <w:r w:rsidRPr="005D0665">
        <w:t>workplace procedures, test methods and equipment manuals.</w:t>
      </w:r>
    </w:p>
    <w:p w:rsidR="00000000" w:rsidRPr="005D0665" w:rsidP="0011349A">
      <w:pPr>
        <w:pStyle w:val="BodyText"/>
      </w:pPr>
      <w:r w:rsidRPr="005D0665">
        <w:br/>
        <w:t>Assessors must satisfy t</w:t>
      </w:r>
      <w:r w:rsidRPr="005D0665">
        <w:t>he NVR/AQTF mandatory competency requirements for assessors.</w:t>
      </w:r>
    </w:p>
    <w:p w:rsidR="00000000" w:rsidRPr="005D0665" w:rsidP="005D0665">
      <w:pPr>
        <w:pStyle w:val="AllowPageBreak"/>
      </w:pPr>
    </w:p>
    <w:p w:rsidR="00000000" w:rsidRPr="005D0665" w:rsidP="005D0665">
      <w:pPr>
        <w:pStyle w:val="Heading1"/>
      </w:pPr>
      <w:bookmarkStart w:id="5" w:name="O_974755"/>
      <w:bookmarkEnd w:id="5"/>
      <w:r w:rsidRPr="005D0665">
        <w:t>Links</w:t>
      </w:r>
    </w:p>
    <w:p w:rsidR="00000000" w:rsidRPr="005D0665" w:rsidP="0011349A">
      <w:pPr>
        <w:pStyle w:val="BodyText"/>
      </w:pPr>
      <w:r w:rsidRPr="005D066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C189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D0665" w:rsidP="005D0665"/>
    <w:sectPr w:rsidSect="005D06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65" w:rsidRPr="0011349A" w:rsidP="00113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9A" w:rsidP="005D0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49A" w:rsidP="005D0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349A" w:rsidP="005D0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665" w:rsidRPr="0011349A" w:rsidP="00113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9A" w:rsidRPr="002D2AF8" w:rsidP="005D0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MSL975030 Perform immunohaematological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11349A" w:rsidP="005D0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4A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86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0F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665"/>
  </w:style>
  <w:style w:type="character" w:customStyle="1" w:styleId="Heading1Char">
    <w:name w:val="Heading 1 Char"/>
    <w:basedOn w:val="DefaultParagraphFont"/>
    <w:link w:val="Heading1"/>
    <w:rsid w:val="005D0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6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665"/>
    <w:rPr>
      <w:b/>
      <w:spacing w:val="0"/>
    </w:rPr>
  </w:style>
  <w:style w:type="paragraph" w:styleId="ListBullet2">
    <w:name w:val="List Bullet 2"/>
    <w:basedOn w:val="List2"/>
    <w:rsid w:val="005D06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0665"/>
    <w:rPr>
      <w:i/>
    </w:rPr>
  </w:style>
  <w:style w:type="paragraph" w:customStyle="1" w:styleId="SuperHeading">
    <w:name w:val="SuperHeading"/>
    <w:basedOn w:val="Normal"/>
    <w:rsid w:val="005D0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665"/>
  </w:style>
  <w:style w:type="paragraph" w:styleId="TableofFigures">
    <w:name w:val="table of figures"/>
    <w:basedOn w:val="Normal"/>
    <w:next w:val="Normal"/>
    <w:semiHidden/>
    <w:rsid w:val="005D0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6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665"/>
    <w:rPr>
      <w:rFonts w:ascii="Wingdings" w:hAnsi="Wingdings"/>
    </w:rPr>
  </w:style>
  <w:style w:type="paragraph" w:customStyle="1" w:styleId="TableHeading">
    <w:name w:val="Table Heading"/>
    <w:basedOn w:val="HeadingBase"/>
    <w:rsid w:val="005D0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665"/>
    <w:rPr>
      <w:color w:val="0033CC"/>
      <w:u w:val="none"/>
    </w:rPr>
  </w:style>
  <w:style w:type="paragraph" w:customStyle="1" w:styleId="BodyTextRight">
    <w:name w:val="Body Text Right"/>
    <w:basedOn w:val="BodyText"/>
    <w:rsid w:val="005D0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6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665"/>
    <w:rPr>
      <w:sz w:val="32"/>
    </w:rPr>
  </w:style>
  <w:style w:type="paragraph" w:customStyle="1" w:styleId="HeadingProcedure">
    <w:name w:val="Heading Procedure"/>
    <w:basedOn w:val="HeadingBase"/>
    <w:next w:val="Normal"/>
    <w:rsid w:val="005D0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665"/>
    <w:pPr>
      <w:spacing w:before="60" w:after="60"/>
    </w:pPr>
  </w:style>
  <w:style w:type="paragraph" w:styleId="ListContinue">
    <w:name w:val="List Continue"/>
    <w:basedOn w:val="List"/>
    <w:rsid w:val="005D0665"/>
    <w:pPr>
      <w:ind w:firstLine="0"/>
    </w:pPr>
  </w:style>
  <w:style w:type="paragraph" w:customStyle="1" w:styleId="ListNote">
    <w:name w:val="List Note"/>
    <w:basedOn w:val="List"/>
    <w:rsid w:val="005D0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665"/>
    <w:rPr>
      <w:rFonts w:ascii="Courier New" w:hAnsi="Courier New"/>
    </w:rPr>
  </w:style>
  <w:style w:type="paragraph" w:customStyle="1" w:styleId="NoteBullet">
    <w:name w:val="Note Bullet"/>
    <w:basedOn w:val="Note"/>
    <w:rsid w:val="005D0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6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665"/>
    <w:rPr>
      <w:b/>
      <w:smallCaps/>
    </w:rPr>
  </w:style>
  <w:style w:type="paragraph" w:customStyle="1" w:styleId="TableListNumber">
    <w:name w:val="Table List Number"/>
    <w:basedOn w:val="ListNumber"/>
    <w:rsid w:val="005D0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665"/>
    <w:pPr>
      <w:numPr>
        <w:numId w:val="9"/>
      </w:numPr>
    </w:pPr>
  </w:style>
  <w:style w:type="paragraph" w:customStyle="1" w:styleId="ListAlpha2">
    <w:name w:val="List Alpha 2"/>
    <w:basedOn w:val="List2"/>
    <w:rsid w:val="005D0665"/>
    <w:pPr>
      <w:numPr>
        <w:numId w:val="8"/>
      </w:numPr>
    </w:pPr>
  </w:style>
  <w:style w:type="paragraph" w:styleId="List2">
    <w:name w:val="List 2"/>
    <w:basedOn w:val="BodyText"/>
    <w:rsid w:val="005D0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6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6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665"/>
    <w:pPr>
      <w:numPr>
        <w:numId w:val="4"/>
      </w:numPr>
    </w:pPr>
  </w:style>
  <w:style w:type="paragraph" w:styleId="ListContinue2">
    <w:name w:val="List Continue 2"/>
    <w:basedOn w:val="List2"/>
    <w:rsid w:val="005D0665"/>
    <w:pPr>
      <w:ind w:firstLine="0"/>
    </w:pPr>
  </w:style>
  <w:style w:type="paragraph" w:styleId="ListContinue3">
    <w:name w:val="List Continue 3"/>
    <w:basedOn w:val="List3"/>
    <w:rsid w:val="005D0665"/>
    <w:pPr>
      <w:ind w:left="1021" w:firstLine="0"/>
    </w:pPr>
  </w:style>
  <w:style w:type="paragraph" w:styleId="ListContinue4">
    <w:name w:val="List Continue 4"/>
    <w:basedOn w:val="List4"/>
    <w:rsid w:val="005D0665"/>
    <w:pPr>
      <w:ind w:firstLine="0"/>
    </w:pPr>
  </w:style>
  <w:style w:type="paragraph" w:styleId="ListContinue5">
    <w:name w:val="List Continue 5"/>
    <w:basedOn w:val="List5"/>
    <w:rsid w:val="005D0665"/>
    <w:pPr>
      <w:ind w:firstLine="0"/>
    </w:pPr>
  </w:style>
  <w:style w:type="paragraph" w:styleId="ListNumber3">
    <w:name w:val="List Number 3"/>
    <w:basedOn w:val="List3"/>
    <w:rsid w:val="005D0665"/>
    <w:pPr>
      <w:numPr>
        <w:numId w:val="5"/>
      </w:numPr>
    </w:pPr>
  </w:style>
  <w:style w:type="paragraph" w:styleId="ListNumber4">
    <w:name w:val="List Number 4"/>
    <w:basedOn w:val="List4"/>
    <w:rsid w:val="005D0665"/>
    <w:pPr>
      <w:numPr>
        <w:numId w:val="6"/>
      </w:numPr>
    </w:pPr>
  </w:style>
  <w:style w:type="paragraph" w:styleId="ListNumber5">
    <w:name w:val="List Number 5"/>
    <w:basedOn w:val="List5"/>
    <w:rsid w:val="005D0665"/>
    <w:pPr>
      <w:numPr>
        <w:numId w:val="7"/>
      </w:numPr>
    </w:pPr>
  </w:style>
  <w:style w:type="paragraph" w:styleId="BlockText">
    <w:name w:val="Block Text"/>
    <w:basedOn w:val="Normal"/>
    <w:rsid w:val="005D0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665"/>
    <w:rPr>
      <w:sz w:val="16"/>
      <w:vertAlign w:val="superscript"/>
    </w:rPr>
  </w:style>
  <w:style w:type="character" w:customStyle="1" w:styleId="Symbols">
    <w:name w:val="Symbols"/>
    <w:basedOn w:val="DefaultParagraphFont"/>
    <w:rsid w:val="005D0665"/>
    <w:rPr>
      <w:rFonts w:ascii="Symbol" w:hAnsi="Symbol"/>
    </w:rPr>
  </w:style>
  <w:style w:type="character" w:customStyle="1" w:styleId="MenuOptions">
    <w:name w:val="Menu Options"/>
    <w:basedOn w:val="DefaultParagraphFont"/>
    <w:rsid w:val="005D0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665"/>
    <w:rPr>
      <w:b/>
    </w:rPr>
  </w:style>
  <w:style w:type="character" w:customStyle="1" w:styleId="Underlined">
    <w:name w:val="Underlined"/>
    <w:basedOn w:val="DefaultParagraphFont"/>
    <w:rsid w:val="005D0665"/>
    <w:rPr>
      <w:u w:val="single"/>
    </w:rPr>
  </w:style>
  <w:style w:type="paragraph" w:customStyle="1" w:styleId="TableBodyTextRight">
    <w:name w:val="Table Body Text Right"/>
    <w:basedOn w:val="TableBodyText"/>
    <w:rsid w:val="005D0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665"/>
    <w:rPr>
      <w:sz w:val="18"/>
    </w:rPr>
  </w:style>
  <w:style w:type="paragraph" w:customStyle="1" w:styleId="BodySmallRight">
    <w:name w:val="Body Small Right"/>
    <w:basedOn w:val="BodyTextRight"/>
    <w:rsid w:val="005D0665"/>
    <w:rPr>
      <w:sz w:val="18"/>
      <w:szCs w:val="18"/>
    </w:rPr>
  </w:style>
  <w:style w:type="paragraph" w:customStyle="1" w:styleId="MarginEdition">
    <w:name w:val="Margin Edition"/>
    <w:basedOn w:val="MarginNote"/>
    <w:rsid w:val="005D0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665"/>
    <w:rPr>
      <w:sz w:val="2"/>
      <w:szCs w:val="2"/>
    </w:rPr>
  </w:style>
  <w:style w:type="character" w:customStyle="1" w:styleId="Small">
    <w:name w:val="Small"/>
    <w:basedOn w:val="DefaultParagraphFont"/>
    <w:rsid w:val="005D0665"/>
    <w:rPr>
      <w:sz w:val="16"/>
    </w:rPr>
  </w:style>
  <w:style w:type="paragraph" w:customStyle="1" w:styleId="WideTable">
    <w:name w:val="Wide Table"/>
    <w:basedOn w:val="Normal"/>
    <w:rsid w:val="005D0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665"/>
  </w:style>
  <w:style w:type="paragraph" w:styleId="Quote">
    <w:name w:val="Quote"/>
    <w:basedOn w:val="Heading1"/>
    <w:link w:val="QuoteChar"/>
    <w:qFormat/>
    <w:rsid w:val="005D0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665"/>
    <w:pPr>
      <w:pageBreakBefore/>
    </w:pPr>
  </w:style>
  <w:style w:type="paragraph" w:customStyle="1" w:styleId="Border">
    <w:name w:val="Border"/>
    <w:basedOn w:val="Normal"/>
    <w:qFormat/>
    <w:rsid w:val="005D0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665"/>
    <w:rPr>
      <w:u w:val="single"/>
    </w:rPr>
  </w:style>
  <w:style w:type="character" w:customStyle="1" w:styleId="BoldandItalics">
    <w:name w:val="Bold and Italics"/>
    <w:qFormat/>
    <w:rsid w:val="005D0665"/>
    <w:rPr>
      <w:b/>
      <w:i/>
      <w:u w:val="none"/>
    </w:rPr>
  </w:style>
  <w:style w:type="paragraph" w:styleId="BalloonText">
    <w:name w:val="Balloon Text"/>
    <w:basedOn w:val="Normal"/>
    <w:link w:val="BalloonTextChar"/>
    <w:rsid w:val="005D0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665"/>
    <w:pPr>
      <w:spacing w:before="0" w:after="0"/>
    </w:pPr>
  </w:style>
  <w:style w:type="paragraph" w:customStyle="1" w:styleId="BodyTextBold">
    <w:name w:val="Body Text Bold"/>
    <w:basedOn w:val="BodyText"/>
    <w:qFormat/>
    <w:rsid w:val="005D0665"/>
    <w:rPr>
      <w:b/>
    </w:rPr>
  </w:style>
  <w:style w:type="character" w:styleId="Hyperlink">
    <w:name w:val="Hyperlink"/>
    <w:basedOn w:val="DefaultParagraphFont"/>
    <w:uiPriority w:val="99"/>
    <w:unhideWhenUsed/>
    <w:rsid w:val="00113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3111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MSL975030 Perform immunohaematological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2021-10-27T23:06:00Z</dcterms:created>
  <dcterms:modified xsi:type="dcterms:W3CDTF">2021-10-27T23:06:00Z</dcterms:modified>
</cp:coreProperties>
</file>