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3809" w:rsidP="001B3809">
      <w:pPr>
        <w:pStyle w:val="Title"/>
      </w:pPr>
      <w:r>
        <w:fldChar w:fldCharType="begin"/>
      </w:r>
      <w:r>
        <w:instrText xml:space="preserve"> TITLE   \* MERGEFORMAT </w:instrText>
      </w:r>
      <w:r>
        <w:fldChar w:fldCharType="separate"/>
      </w:r>
      <w:r>
        <w:t>MSL975025 Perform complex laboratory testing of forensic samples</w:t>
      </w:r>
      <w:r>
        <w:fldChar w:fldCharType="end"/>
      </w:r>
    </w:p>
    <w:p w:rsidR="001B3809" w:rsidP="001B3809">
      <w:pPr>
        <w:pStyle w:val="Version"/>
        <w:sectPr w:rsidSect="00DA52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5220" w:rsidP="00DA5220">
      <w:pPr>
        <w:pStyle w:val="SuperHeading"/>
      </w:pPr>
      <w:r w:rsidRPr="00DA5220">
        <w:t>MSL975025 Perform complex laboratory testing of forensic samples</w:t>
      </w:r>
    </w:p>
    <w:p w:rsidR="00000000" w:rsidRPr="00DA5220" w:rsidP="00DA5220">
      <w:pPr>
        <w:pStyle w:val="Heading1"/>
      </w:pPr>
      <w:bookmarkStart w:id="1" w:name="O_901990"/>
      <w:bookmarkEnd w:id="1"/>
      <w:r w:rsidRPr="00DA5220">
        <w:t>Modification History</w:t>
      </w:r>
    </w:p>
    <w:p w:rsidR="00000000" w:rsidRPr="00DA5220" w:rsidP="00DA5220">
      <w:pPr>
        <w:pStyle w:val="BodyText"/>
      </w:pPr>
      <w:r w:rsidRPr="00DA5220">
        <w:t>Release 1. Supersedes and is equivalent to MSL975025A Perform complex laboratory testing of forensic samples</w:t>
      </w:r>
    </w:p>
    <w:p w:rsidR="00000000" w:rsidRPr="00DA5220" w:rsidP="00DA5220">
      <w:pPr>
        <w:pStyle w:val="AllowPageBreak"/>
      </w:pPr>
    </w:p>
    <w:p w:rsidR="00000000" w:rsidRPr="00DA5220" w:rsidP="00DA5220">
      <w:pPr>
        <w:pStyle w:val="Heading1"/>
      </w:pPr>
      <w:bookmarkStart w:id="2" w:name="O_901998"/>
      <w:bookmarkEnd w:id="2"/>
      <w:r w:rsidRPr="00DA5220">
        <w:t>Application</w:t>
      </w:r>
    </w:p>
    <w:p w:rsidR="00000000" w:rsidRPr="00DA5220" w:rsidP="00DA5220">
      <w:pPr>
        <w:pStyle w:val="BodyText"/>
      </w:pPr>
      <w:r w:rsidRPr="00DA5220">
        <w:t>This unit of competency covers the ability to perform complex laboratory testing of samples that may be used as forensic evidence. Competency includes the ability to establish client needs for routine and non-routine forensic samples, select suitable techn</w:t>
      </w:r>
      <w:r w:rsidRPr="00DA5220">
        <w:t>iques and methods and modify them if required, obtain valid and reliable data, and report test results. Personnel are required to recognise atypical test data/results, troubleshoot common analytical procedure and equipment problems and ensure all testing a</w:t>
      </w:r>
      <w:r w:rsidRPr="00DA5220">
        <w:t xml:space="preserve">nd reporting meets judicial requirements. </w:t>
      </w:r>
    </w:p>
    <w:p w:rsidR="00000000" w:rsidRPr="00DA5220" w:rsidP="00DA5220">
      <w:pPr>
        <w:pStyle w:val="BodyText"/>
      </w:pPr>
    </w:p>
    <w:p w:rsidR="00000000" w:rsidRPr="00DA5220" w:rsidP="00DA5220">
      <w:pPr>
        <w:pStyle w:val="BodyText"/>
      </w:pPr>
      <w:r w:rsidRPr="00DA5220">
        <w:t>This unit of competency is applicable to technical officers working in all industry sectors and government agencies, such as food, forensic, medical and environmental laboratories. The term forensic is used to de</w:t>
      </w:r>
      <w:r w:rsidRPr="00DA5220">
        <w:t>scribe tests which may have legal implications, such as those used to verify claims for insurance companies.</w:t>
      </w:r>
    </w:p>
    <w:p w:rsidR="00000000" w:rsidRPr="00DA5220" w:rsidP="00DA5220">
      <w:pPr>
        <w:pStyle w:val="BodyText"/>
      </w:pPr>
    </w:p>
    <w:p w:rsidR="00000000" w:rsidRPr="00DA5220" w:rsidP="00DA5220">
      <w:pPr>
        <w:pStyle w:val="BodyText"/>
      </w:pPr>
      <w:r w:rsidRPr="00DA5220">
        <w:t>Complex forensic laboratory tests are non-routine and may require the development of new or modified methods. They require a high degree of analyt</w:t>
      </w:r>
      <w:r w:rsidRPr="00DA5220">
        <w:t>ical skill and knowledge, or practical experience required to perform the analysis and interpret the results. Complex forensic tests include all forms of comparative, evaluative, analytical and optical (visual) methods and techniques. They can be performed</w:t>
      </w:r>
      <w:r w:rsidRPr="00DA5220">
        <w:t xml:space="preserve"> on specialised analytical instruments and include tests such as DNA profiling, gunshot residue analysis using scanning electron microscopy energy dispersive X-ray spectroscopy (SEM-EDX), identification of accelerant residue samples from arson attacks usin</w:t>
      </w:r>
      <w:r w:rsidRPr="00DA5220">
        <w:t>g gas chromatography mass spectroscopy (GC-MS), and explosive residue analysis.</w:t>
      </w:r>
    </w:p>
    <w:p w:rsidR="00000000" w:rsidRPr="00DA5220" w:rsidP="00DA5220">
      <w:pPr>
        <w:pStyle w:val="BodyText"/>
      </w:pPr>
    </w:p>
    <w:p w:rsidR="00000000" w:rsidRPr="00DA5220" w:rsidP="00DA5220">
      <w:pPr>
        <w:pStyle w:val="BodyText"/>
      </w:pPr>
      <w:r w:rsidRPr="00DA5220">
        <w:t>All operations and analytical methods must comply with relevant standards, appropriate procedures and/or workplace requirements. Although a supervisor may not always be presen</w:t>
      </w:r>
      <w:r w:rsidRPr="00DA5220">
        <w:t>t, the technical officer will follow standard operating procedures (SOPs) that clearly describe the scope of permitted practice, including modifying workplace/test procedures and communicating results to people outside the laboratory.</w:t>
      </w:r>
    </w:p>
    <w:p w:rsidR="00000000" w:rsidRPr="00DA5220" w:rsidP="00DA5220">
      <w:pPr>
        <w:pStyle w:val="BodyText"/>
      </w:pPr>
    </w:p>
    <w:p w:rsidR="00000000" w:rsidRPr="00DA5220" w:rsidP="00DA5220">
      <w:pPr>
        <w:pStyle w:val="BodyText"/>
      </w:pPr>
      <w:r w:rsidRPr="00DA5220">
        <w:t>While no specific li</w:t>
      </w:r>
      <w:r w:rsidRPr="00DA5220">
        <w:t>censing or certification requirements apply to this unit at the time of publication, laboratory operations are governed by relevant legislation, regulations and/or external accreditation requirements. Local requirements should be checked.</w:t>
      </w:r>
    </w:p>
    <w:p w:rsidR="00000000" w:rsidRPr="00DA5220" w:rsidP="00DA5220">
      <w:pPr>
        <w:pStyle w:val="AllowPageBreak"/>
      </w:pPr>
    </w:p>
    <w:p w:rsidR="00000000" w:rsidRPr="00DA5220" w:rsidP="00DA5220">
      <w:pPr>
        <w:pStyle w:val="Heading1"/>
      </w:pPr>
      <w:bookmarkStart w:id="3" w:name="O_901997"/>
      <w:bookmarkEnd w:id="3"/>
      <w:r w:rsidRPr="00DA5220">
        <w:t>Pre-requisite Unit</w:t>
      </w:r>
    </w:p>
    <w:p w:rsidR="00000000" w:rsidRPr="00DA5220" w:rsidP="00DA5220">
      <w:pPr>
        <w:pStyle w:val="BodyText"/>
      </w:pPr>
      <w:r w:rsidRPr="00DA5220">
        <w:t>Nil</w:t>
      </w:r>
    </w:p>
    <w:p w:rsidR="00000000" w:rsidRPr="00DA5220" w:rsidP="00DA5220">
      <w:pPr>
        <w:pStyle w:val="AllowPageBreak"/>
      </w:pPr>
    </w:p>
    <w:p w:rsidR="00000000" w:rsidRPr="00DA5220" w:rsidP="00DA5220">
      <w:pPr>
        <w:pStyle w:val="Heading1"/>
      </w:pPr>
      <w:bookmarkStart w:id="4" w:name="O_901996"/>
      <w:bookmarkEnd w:id="4"/>
      <w:r w:rsidRPr="00DA5220">
        <w:t>Competency Field</w:t>
      </w:r>
    </w:p>
    <w:p w:rsidR="00000000" w:rsidRPr="00DA5220" w:rsidP="00DA5220">
      <w:pPr>
        <w:pStyle w:val="BodyText"/>
      </w:pPr>
      <w:r w:rsidRPr="00DA5220">
        <w:t>Testing</w:t>
      </w:r>
    </w:p>
    <w:p w:rsidR="00000000" w:rsidRPr="00DA5220" w:rsidP="00DA5220">
      <w:pPr>
        <w:pStyle w:val="AllowPageBreak"/>
      </w:pPr>
    </w:p>
    <w:p w:rsidR="00000000" w:rsidRPr="00DA5220" w:rsidP="00DA5220">
      <w:pPr>
        <w:pStyle w:val="Heading1"/>
      </w:pPr>
      <w:bookmarkStart w:id="5" w:name="O_901995"/>
      <w:bookmarkEnd w:id="5"/>
      <w:r w:rsidRPr="00DA5220">
        <w:t>Unit Sector</w:t>
      </w:r>
    </w:p>
    <w:p w:rsidR="00000000" w:rsidRPr="00DA5220" w:rsidP="00DA5220">
      <w:pPr>
        <w:pStyle w:val="Heading1"/>
      </w:pPr>
      <w:bookmarkStart w:id="6" w:name="O_901994"/>
      <w:bookmarkEnd w:id="6"/>
      <w:r w:rsidRPr="00DA522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A522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Performance criteria describe the performance needed to demonstrate a</w:t>
            </w:r>
            <w:r w:rsidRPr="00DA5220">
              <w:t>chievement of the element.</w:t>
            </w:r>
          </w:p>
        </w:tc>
      </w:tr>
      <w:tr w:rsidTr="00DA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A5220" w:rsidP="00DA5220">
            <w:pPr>
              <w:pStyle w:val="BodyText"/>
            </w:pPr>
            <w:r w:rsidRPr="00DA5220">
              <w:t>1</w:t>
            </w:r>
          </w:p>
        </w:tc>
        <w:tc>
          <w:tcPr>
            <w:tcW w:w="1962" w:type="dxa"/>
            <w:vMerge w:val="restart"/>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rPr>
                <w:rStyle w:val="SpecialBold"/>
              </w:rPr>
              <w:t>Establish client needs and schedule analysis</w:t>
            </w:r>
          </w:p>
        </w:tc>
        <w:tc>
          <w:tcPr>
            <w:tcW w:w="77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1.1</w:t>
            </w:r>
          </w:p>
        </w:tc>
        <w:tc>
          <w:tcPr>
            <w:tcW w:w="561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Obtain evidential material/samples following accepted chain of custody procedures</w:t>
            </w:r>
          </w:p>
        </w:tc>
      </w:tr>
      <w:tr w:rsidTr="00DA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1.2</w:t>
            </w:r>
          </w:p>
        </w:tc>
        <w:tc>
          <w:tcPr>
            <w:tcW w:w="561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Record sample description, compare with specification and record and rep</w:t>
            </w:r>
            <w:r w:rsidRPr="00DA5220">
              <w:t>ort discrepancies</w:t>
            </w:r>
          </w:p>
        </w:tc>
      </w:tr>
      <w:tr w:rsidTr="00DA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1.3</w:t>
            </w:r>
          </w:p>
        </w:tc>
        <w:tc>
          <w:tcPr>
            <w:tcW w:w="561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Evaluate samples and select appropriate laboratory procedure from accepted standard forensic techniques and validated scientific methods</w:t>
            </w:r>
          </w:p>
        </w:tc>
      </w:tr>
      <w:tr w:rsidTr="00DA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1.4</w:t>
            </w:r>
          </w:p>
        </w:tc>
        <w:tc>
          <w:tcPr>
            <w:tcW w:w="561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 xml:space="preserve">Identify the possible need to modify workplace techniques or methods, for example, to ensure recovery of sample materials </w:t>
            </w:r>
          </w:p>
        </w:tc>
      </w:tr>
      <w:tr w:rsidTr="00DA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1.5</w:t>
            </w:r>
          </w:p>
        </w:tc>
        <w:tc>
          <w:tcPr>
            <w:tcW w:w="561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Seek advice from supervisor about any proposed variations and document all approved changes according to workplace quality sys</w:t>
            </w:r>
            <w:r w:rsidRPr="00DA5220">
              <w:t>tem and judicial requirements</w:t>
            </w:r>
          </w:p>
        </w:tc>
      </w:tr>
      <w:tr w:rsidTr="00DA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1.6</w:t>
            </w:r>
          </w:p>
        </w:tc>
        <w:tc>
          <w:tcPr>
            <w:tcW w:w="561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Schedule analysis using workplace procedures</w:t>
            </w:r>
          </w:p>
        </w:tc>
      </w:tr>
      <w:tr w:rsidTr="00DA522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A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A5220" w:rsidP="00DA5220">
            <w:pPr>
              <w:pStyle w:val="BodyText"/>
            </w:pPr>
            <w:r w:rsidRPr="00DA5220">
              <w:t>2</w:t>
            </w:r>
          </w:p>
        </w:tc>
        <w:tc>
          <w:tcPr>
            <w:tcW w:w="1962" w:type="dxa"/>
            <w:vMerge w:val="restart"/>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rPr>
                <w:rStyle w:val="SpecialBold"/>
              </w:rPr>
              <w:t>Prepare samples and standards</w:t>
            </w:r>
          </w:p>
        </w:tc>
        <w:tc>
          <w:tcPr>
            <w:tcW w:w="77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2.1</w:t>
            </w:r>
          </w:p>
        </w:tc>
        <w:tc>
          <w:tcPr>
            <w:tcW w:w="561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Obtain a representative analytical portion of the sample</w:t>
            </w:r>
          </w:p>
        </w:tc>
      </w:tr>
      <w:tr w:rsidTr="00DA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2.2</w:t>
            </w:r>
          </w:p>
        </w:tc>
        <w:tc>
          <w:tcPr>
            <w:tcW w:w="561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Prepare sample in accordance with testing requirements</w:t>
            </w:r>
          </w:p>
        </w:tc>
      </w:tr>
      <w:tr w:rsidTr="00DA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2.3</w:t>
            </w:r>
          </w:p>
        </w:tc>
        <w:tc>
          <w:tcPr>
            <w:tcW w:w="561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Prepare validation checks and/or calibration standards for analytical portions</w:t>
            </w:r>
          </w:p>
        </w:tc>
      </w:tr>
      <w:tr w:rsidTr="00DA522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A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A5220" w:rsidP="00DA5220">
            <w:pPr>
              <w:pStyle w:val="BodyText"/>
            </w:pPr>
            <w:r w:rsidRPr="00DA5220">
              <w:t>3</w:t>
            </w:r>
          </w:p>
        </w:tc>
        <w:tc>
          <w:tcPr>
            <w:tcW w:w="1962" w:type="dxa"/>
            <w:vMerge w:val="restart"/>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rPr>
                <w:rStyle w:val="SpecialBold"/>
              </w:rPr>
              <w:t>Perform analysis</w:t>
            </w:r>
          </w:p>
        </w:tc>
        <w:tc>
          <w:tcPr>
            <w:tcW w:w="77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3.1</w:t>
            </w:r>
          </w:p>
        </w:tc>
        <w:tc>
          <w:tcPr>
            <w:tcW w:w="561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 xml:space="preserve">Perform laboratory examination in accordance with validated technique or method on standards, validation checks and samples </w:t>
            </w:r>
          </w:p>
        </w:tc>
      </w:tr>
      <w:tr w:rsidTr="00DA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3.2</w:t>
            </w:r>
          </w:p>
        </w:tc>
        <w:tc>
          <w:tcPr>
            <w:tcW w:w="561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Conduct sufficient testing to obtain reliable data</w:t>
            </w:r>
          </w:p>
        </w:tc>
      </w:tr>
      <w:tr w:rsidTr="00DA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3.3</w:t>
            </w:r>
          </w:p>
        </w:tc>
        <w:tc>
          <w:tcPr>
            <w:tcW w:w="561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 xml:space="preserve">Perform tests according to workplace requirements for </w:t>
            </w:r>
            <w:r w:rsidRPr="00DA5220">
              <w:t>timeframe and cost</w:t>
            </w:r>
          </w:p>
        </w:tc>
      </w:tr>
      <w:tr w:rsidTr="00DA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3.4</w:t>
            </w:r>
          </w:p>
        </w:tc>
        <w:tc>
          <w:tcPr>
            <w:tcW w:w="561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Troubleshoot technique or method problems which have led to atypical data or results</w:t>
            </w:r>
          </w:p>
        </w:tc>
      </w:tr>
      <w:tr w:rsidTr="00DA522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A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A5220" w:rsidP="00DA5220">
            <w:pPr>
              <w:pStyle w:val="BodyText"/>
            </w:pPr>
            <w:r w:rsidRPr="00DA5220">
              <w:t>4</w:t>
            </w:r>
          </w:p>
        </w:tc>
        <w:tc>
          <w:tcPr>
            <w:tcW w:w="1962" w:type="dxa"/>
            <w:vMerge w:val="restart"/>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rPr>
                <w:rStyle w:val="SpecialBold"/>
              </w:rPr>
              <w:t>Process and analyse data</w:t>
            </w:r>
          </w:p>
        </w:tc>
        <w:tc>
          <w:tcPr>
            <w:tcW w:w="77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4.1</w:t>
            </w:r>
          </w:p>
        </w:tc>
        <w:tc>
          <w:tcPr>
            <w:tcW w:w="561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Confirm data is the result of valid measurements</w:t>
            </w:r>
          </w:p>
        </w:tc>
      </w:tr>
      <w:tr w:rsidTr="00DA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4.2</w:t>
            </w:r>
          </w:p>
        </w:tc>
        <w:tc>
          <w:tcPr>
            <w:tcW w:w="561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Perform any required calculations and ensure results are consistent with standards or estimations and expectations</w:t>
            </w:r>
          </w:p>
        </w:tc>
      </w:tr>
      <w:tr w:rsidTr="00DA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4.3</w:t>
            </w:r>
          </w:p>
        </w:tc>
        <w:tc>
          <w:tcPr>
            <w:tcW w:w="561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Record results with the appropriate accur</w:t>
            </w:r>
            <w:r w:rsidRPr="00DA5220">
              <w:t>acy, precision, uncertainty and units</w:t>
            </w:r>
          </w:p>
        </w:tc>
      </w:tr>
      <w:tr w:rsidTr="00DA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4.4</w:t>
            </w:r>
          </w:p>
        </w:tc>
        <w:tc>
          <w:tcPr>
            <w:tcW w:w="561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Draw conclusions from examination of results according to accepted forensic practices and documented requirements</w:t>
            </w:r>
          </w:p>
        </w:tc>
      </w:tr>
      <w:tr w:rsidTr="00DA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4.5</w:t>
            </w:r>
          </w:p>
        </w:tc>
        <w:tc>
          <w:tcPr>
            <w:tcW w:w="561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Review laboratory methodology and test results</w:t>
            </w:r>
          </w:p>
        </w:tc>
      </w:tr>
      <w:tr w:rsidTr="00DA522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A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A5220" w:rsidP="00DA5220">
            <w:pPr>
              <w:pStyle w:val="BodyText"/>
            </w:pPr>
            <w:r w:rsidRPr="00DA5220">
              <w:t>5</w:t>
            </w:r>
          </w:p>
        </w:tc>
        <w:tc>
          <w:tcPr>
            <w:tcW w:w="1962" w:type="dxa"/>
            <w:vMerge w:val="restart"/>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5.1</w:t>
            </w:r>
          </w:p>
        </w:tc>
        <w:tc>
          <w:tcPr>
            <w:tcW w:w="561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Identify risks, hazards, safety equipment and control measures associated with sample handling, preparation and analytical method</w:t>
            </w:r>
          </w:p>
        </w:tc>
      </w:tr>
      <w:tr w:rsidTr="00DA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5.2</w:t>
            </w:r>
          </w:p>
        </w:tc>
        <w:tc>
          <w:tcPr>
            <w:tcW w:w="561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Use personal protective equipment (PPE) and safety procedures specified for test method and materials to be tested</w:t>
            </w:r>
          </w:p>
        </w:tc>
      </w:tr>
      <w:tr w:rsidTr="00DA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5.3</w:t>
            </w:r>
          </w:p>
        </w:tc>
        <w:tc>
          <w:tcPr>
            <w:tcW w:w="561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Minimise the generation of waste and environmental impacts</w:t>
            </w:r>
          </w:p>
        </w:tc>
      </w:tr>
      <w:tr w:rsidTr="00DA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5.4</w:t>
            </w:r>
          </w:p>
        </w:tc>
        <w:tc>
          <w:tcPr>
            <w:tcW w:w="561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Ensure the safe disposal of laboratory waste</w:t>
            </w:r>
          </w:p>
        </w:tc>
      </w:tr>
      <w:tr w:rsidTr="00DA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5.5</w:t>
            </w:r>
          </w:p>
        </w:tc>
        <w:tc>
          <w:tcPr>
            <w:tcW w:w="561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Clean, care for and store equipment and consumables in accordance with workplace procedures</w:t>
            </w:r>
          </w:p>
        </w:tc>
      </w:tr>
      <w:tr w:rsidTr="00DA522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A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A5220" w:rsidP="00DA5220">
            <w:pPr>
              <w:pStyle w:val="BodyText"/>
            </w:pPr>
            <w:r w:rsidRPr="00DA5220">
              <w:t>6</w:t>
            </w:r>
          </w:p>
        </w:tc>
        <w:tc>
          <w:tcPr>
            <w:tcW w:w="1962" w:type="dxa"/>
            <w:vMerge w:val="restart"/>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rPr>
                <w:rStyle w:val="SpecialBold"/>
              </w:rPr>
              <w:t>Maintain laboratory records and report results</w:t>
            </w:r>
          </w:p>
        </w:tc>
        <w:tc>
          <w:tcPr>
            <w:tcW w:w="77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6.1</w:t>
            </w:r>
          </w:p>
        </w:tc>
        <w:tc>
          <w:tcPr>
            <w:tcW w:w="561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Enter approved data and results into laboratory information management system (LIMS) according to workplace quality system and judicial requirements</w:t>
            </w:r>
          </w:p>
        </w:tc>
      </w:tr>
      <w:tr w:rsidTr="00DA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6.2</w:t>
            </w:r>
          </w:p>
        </w:tc>
        <w:tc>
          <w:tcPr>
            <w:tcW w:w="561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Maintain equipment logs in accordance with workplace procedures</w:t>
            </w:r>
          </w:p>
        </w:tc>
      </w:tr>
      <w:tr w:rsidTr="00DA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6.3</w:t>
            </w:r>
          </w:p>
        </w:tc>
        <w:tc>
          <w:tcPr>
            <w:tcW w:w="561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Maintain security, integrity and traceability of samples and documentation</w:t>
            </w:r>
          </w:p>
        </w:tc>
      </w:tr>
      <w:tr w:rsidTr="00DA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6.4</w:t>
            </w:r>
          </w:p>
        </w:tc>
        <w:tc>
          <w:tcPr>
            <w:tcW w:w="5610" w:type="dxa"/>
            <w:tcBorders>
              <w:top w:val="nil"/>
              <w:left w:val="nil"/>
              <w:bottom w:val="nil"/>
              <w:right w:val="nil"/>
            </w:tcBorders>
            <w:tcMar>
              <w:top w:w="0" w:type="dxa"/>
              <w:left w:w="62" w:type="dxa"/>
              <w:bottom w:w="0" w:type="dxa"/>
              <w:right w:w="62" w:type="dxa"/>
            </w:tcMar>
          </w:tcPr>
          <w:p w:rsidR="00000000" w:rsidRPr="00DA5220" w:rsidP="00DA5220">
            <w:pPr>
              <w:pStyle w:val="BodyText"/>
            </w:pPr>
            <w:r w:rsidRPr="00DA5220">
              <w:t>Prepare reports for presentation of evidence and communicate results to appropriate personnel</w:t>
            </w:r>
          </w:p>
        </w:tc>
      </w:tr>
    </w:tbl>
    <w:p w:rsidR="00000000" w:rsidRPr="00DA5220" w:rsidP="00DA5220">
      <w:pPr>
        <w:pStyle w:val="BodyText"/>
      </w:pPr>
    </w:p>
    <w:p w:rsidR="00000000" w:rsidRPr="00DA5220" w:rsidP="00DA5220">
      <w:pPr>
        <w:pStyle w:val="AllowPageBreak"/>
      </w:pPr>
    </w:p>
    <w:p w:rsidR="00000000" w:rsidRPr="00DA5220" w:rsidP="00DA5220">
      <w:pPr>
        <w:pStyle w:val="Heading1"/>
      </w:pPr>
      <w:bookmarkStart w:id="7" w:name="O_901993"/>
      <w:bookmarkEnd w:id="7"/>
      <w:r w:rsidRPr="00DA5220">
        <w:t>Foundation Skills</w:t>
      </w:r>
    </w:p>
    <w:p w:rsidR="00000000" w:rsidRPr="00DA5220" w:rsidP="00DA5220">
      <w:pPr>
        <w:pStyle w:val="BodyText"/>
      </w:pPr>
      <w:r w:rsidRPr="00DA5220">
        <w:t>This section describes those language, literacy, numeracy and employment skills that are essential to performance.</w:t>
      </w:r>
    </w:p>
    <w:p w:rsidR="00000000" w:rsidRPr="00DA5220" w:rsidP="00DA5220">
      <w:pPr>
        <w:pStyle w:val="BodyText"/>
      </w:pPr>
    </w:p>
    <w:p w:rsidR="00000000" w:rsidRPr="00DA5220" w:rsidP="00DA5220">
      <w:pPr>
        <w:pStyle w:val="BodyText"/>
      </w:pPr>
      <w:r w:rsidRPr="00DA5220">
        <w:t>Foundation skills essential to performance are explicit in the performance criteria of this unit of compet</w:t>
      </w:r>
      <w:r w:rsidRPr="00DA5220">
        <w:t>ency.</w:t>
      </w:r>
    </w:p>
    <w:p w:rsidR="00000000" w:rsidRPr="00DA5220" w:rsidP="00DA5220">
      <w:pPr>
        <w:pStyle w:val="AllowPageBreak"/>
      </w:pPr>
    </w:p>
    <w:p w:rsidR="00000000" w:rsidRPr="00DA5220" w:rsidP="00DA5220">
      <w:pPr>
        <w:pStyle w:val="Heading1"/>
      </w:pPr>
      <w:bookmarkStart w:id="8" w:name="O_901992"/>
      <w:bookmarkEnd w:id="8"/>
      <w:r w:rsidRPr="00DA5220">
        <w:t>Range of Conditions</w:t>
      </w:r>
    </w:p>
    <w:tbl>
      <w:tblPr>
        <w:tblW w:w="0" w:type="auto"/>
        <w:tblCellMar>
          <w:left w:w="62" w:type="dxa"/>
          <w:right w:w="62" w:type="dxa"/>
        </w:tblCellMar>
        <w:tblLook w:val="0000"/>
      </w:tblPr>
      <w:tblGrid>
        <w:gridCol w:w="2163"/>
        <w:gridCol w:w="7033"/>
      </w:tblGrid>
      <w:tr w:rsidTr="001B380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t>This field allows for different work environments and conditions that may affect performance. Essential operating conditions that may be present (depending on the work situation, needs of the candidate, accessibil</w:t>
            </w:r>
            <w:r w:rsidRPr="00DA5220">
              <w:t>ity of the item, and local industry and regional contexts) are included.</w:t>
            </w:r>
          </w:p>
        </w:tc>
      </w:tr>
      <w:tr w:rsidTr="001B38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DA5220" w:rsidP="00DA5220">
            <w:pPr>
              <w:pStyle w:val="BodyText"/>
            </w:pPr>
            <w:r w:rsidRPr="00DA5220">
              <w:t>Standards, codes, procedures and/or workplace requirements include the latest version of one or more of:</w:t>
            </w:r>
          </w:p>
          <w:p w:rsidR="00000000" w:rsidRPr="00DA5220" w:rsidP="00DA5220">
            <w:pPr>
              <w:pStyle w:val="ListBullet"/>
            </w:pPr>
            <w:r w:rsidRPr="00DA5220">
              <w:t xml:space="preserve">Australian and </w:t>
            </w:r>
            <w:r w:rsidRPr="00DA5220">
              <w:t>international standards covering the requirements for the competence of testing and calibration laboratories, laboratory design and construction, physical containment levels and facility types, laboratory safety, and quality and environmental management</w:t>
            </w:r>
          </w:p>
          <w:p w:rsidR="00000000" w:rsidRPr="00DA5220" w:rsidP="00DA5220">
            <w:pPr>
              <w:pStyle w:val="ListBullet"/>
            </w:pPr>
            <w:r w:rsidRPr="00DA5220">
              <w:t>national work health and safety (WHS) standards and codes of practice, and national measurement regulations and guidelines</w:t>
            </w:r>
          </w:p>
          <w:p w:rsidR="00000000" w:rsidRPr="00DA5220" w:rsidP="00DA5220">
            <w:pPr>
              <w:pStyle w:val="ListBullet"/>
            </w:pPr>
            <w:r w:rsidRPr="00DA5220">
              <w:t>Australian and international standards and guidelines covering specialised chemical analysis, accuracy of measurement methods and res</w:t>
            </w:r>
            <w:r w:rsidRPr="00DA5220">
              <w:t>ults, expression of uncertainty and quantifying uncertainty</w:t>
            </w:r>
          </w:p>
          <w:p w:rsidR="00000000" w:rsidRPr="00DA5220" w:rsidP="00DA5220">
            <w:pPr>
              <w:pStyle w:val="ListBullet"/>
            </w:pPr>
            <w:r w:rsidRPr="00DA5220">
              <w:t>specific codes, guidelines, procedures and methods, such as the Australian code of good manufacturing practice for medicinal products (GMP), and principles of good laboratory practice (GLP)</w:t>
            </w:r>
          </w:p>
          <w:p w:rsidR="00000000" w:rsidRPr="00DA5220" w:rsidP="00DA5220">
            <w:pPr>
              <w:pStyle w:val="ListBullet"/>
            </w:pPr>
            <w:r w:rsidRPr="00DA5220">
              <w:t>workpl</w:t>
            </w:r>
            <w:r w:rsidRPr="00DA5220">
              <w:t>ace documents, such as judicial protocols; SOPs; quality and equipment manuals; data quality procedures; calibration and maintenance schedules; material safety data sheets (MSDS) and safety procedures; material and product specifications; laboratory schedu</w:t>
            </w:r>
            <w:r w:rsidRPr="00DA5220">
              <w:t>les; workplace recording and reporting procedures; waste minimisation and safe disposal procedures; cleaning, hygiene and personal hygiene requirements; stock records and inventory</w:t>
            </w:r>
          </w:p>
          <w:p w:rsidR="00000000" w:rsidRPr="00DA5220" w:rsidP="00DA5220">
            <w:pPr>
              <w:pStyle w:val="ListBullet"/>
            </w:pPr>
            <w:r w:rsidRPr="00DA5220">
              <w:t>forensic sampling procedures (labelling, preparation, storage, transport an</w:t>
            </w:r>
            <w:r w:rsidRPr="00DA5220">
              <w:t>d disposal)</w:t>
            </w:r>
          </w:p>
          <w:p w:rsidR="00000000" w:rsidRPr="00DA5220" w:rsidP="00DA5220">
            <w:pPr>
              <w:pStyle w:val="ListBullet"/>
            </w:pPr>
            <w:r w:rsidRPr="00DA5220">
              <w:t>test procedures (validated and authorised)</w:t>
            </w:r>
          </w:p>
          <w:p w:rsidR="00000000" w:rsidP="00DA5220">
            <w:pPr>
              <w:pStyle w:val="BodyText"/>
              <w:rPr>
                <w:lang w:val="en-NZ"/>
              </w:rPr>
            </w:pPr>
          </w:p>
        </w:tc>
      </w:tr>
      <w:tr w:rsidTr="001B38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rPr>
                <w:rStyle w:val="SpecialBold"/>
              </w:rPr>
              <w:t xml:space="preserve">Complex testing on forensic samples </w:t>
            </w:r>
          </w:p>
        </w:tc>
        <w:tc>
          <w:tcPr>
            <w:tcW w:w="0" w:type="auto"/>
            <w:tcBorders>
              <w:top w:val="nil"/>
              <w:left w:val="nil"/>
              <w:bottom w:val="nil"/>
              <w:right w:val="nil"/>
            </w:tcBorders>
            <w:tcMar>
              <w:top w:w="0" w:type="dxa"/>
              <w:left w:w="62" w:type="dxa"/>
              <w:bottom w:w="0" w:type="dxa"/>
              <w:right w:w="62" w:type="dxa"/>
            </w:tcMar>
          </w:tcPr>
          <w:p w:rsidR="00000000" w:rsidRPr="00DA5220" w:rsidP="00DA5220">
            <w:pPr>
              <w:pStyle w:val="BodyText"/>
            </w:pPr>
            <w:r w:rsidRPr="00DA5220">
              <w:t>Complex testing includes, but is not limited to, one or more of the following techniques and methods:</w:t>
            </w:r>
          </w:p>
          <w:p w:rsidR="00000000" w:rsidRPr="00DA5220" w:rsidP="00DA5220">
            <w:pPr>
              <w:pStyle w:val="ListBullet"/>
            </w:pPr>
            <w:r w:rsidRPr="00DA5220">
              <w:t>infrared and ultraviolet/visible (UV/Vis) spectrometric tec</w:t>
            </w:r>
            <w:r w:rsidRPr="00DA5220">
              <w:t>hniques, such as inductively coupled plasma optical emission spectroscopy (ICP-OES), inductively coupled plasma mass spectroscopy (ICP-MS), X-ray fluorescence (XRF) and neutron activation analysis (NAA)</w:t>
            </w:r>
          </w:p>
          <w:p w:rsidR="00000000" w:rsidRPr="00DA5220" w:rsidP="00DA5220">
            <w:pPr>
              <w:pStyle w:val="ListBullet"/>
            </w:pPr>
            <w:r w:rsidRPr="00DA5220">
              <w:t>chromatographic techniques, such as gas chromatograph</w:t>
            </w:r>
            <w:r w:rsidRPr="00DA5220">
              <w:t>y mass spectroscopy (GC-MS), ion chromatography (IC) and high pressure liquid chromatography (HPLC)</w:t>
            </w:r>
          </w:p>
          <w:p w:rsidR="00000000" w:rsidRPr="00DA5220" w:rsidP="00DA5220">
            <w:pPr>
              <w:pStyle w:val="ListBullet"/>
            </w:pPr>
            <w:r w:rsidRPr="00DA5220">
              <w:t>electrometric techniques, such as ion selective electrodes, voltammetry (polarography) and anodic stripping voltammetry</w:t>
            </w:r>
          </w:p>
          <w:p w:rsidR="00000000" w:rsidRPr="00DA5220" w:rsidP="00DA5220">
            <w:pPr>
              <w:pStyle w:val="ListBullet"/>
            </w:pPr>
            <w:r w:rsidRPr="00DA5220">
              <w:t xml:space="preserve">electrophoretic techniques, such as </w:t>
            </w:r>
            <w:r w:rsidRPr="00DA5220">
              <w:t>capillary electrophoresis</w:t>
            </w:r>
          </w:p>
          <w:p w:rsidR="00000000" w:rsidRPr="00DA5220" w:rsidP="00DA5220">
            <w:pPr>
              <w:pStyle w:val="ListBullet"/>
            </w:pPr>
            <w:r w:rsidRPr="00DA5220">
              <w:t>electrometric methods, such as anodic stripping voltammetry</w:t>
            </w:r>
          </w:p>
          <w:p w:rsidR="00000000" w:rsidRPr="00DA5220" w:rsidP="00DA5220">
            <w:pPr>
              <w:pStyle w:val="ListBullet"/>
            </w:pPr>
            <w:r w:rsidRPr="00DA5220">
              <w:t>molecular techniques, such as DNA profiling and polymerase chain reaction</w:t>
            </w:r>
          </w:p>
          <w:p w:rsidR="00000000" w:rsidRPr="00DA5220" w:rsidP="00DA5220">
            <w:pPr>
              <w:pStyle w:val="ListBullet"/>
            </w:pPr>
            <w:r w:rsidRPr="00DA5220">
              <w:t>scanning electron microscopy</w:t>
            </w:r>
          </w:p>
          <w:p w:rsidR="00000000" w:rsidP="00DA5220">
            <w:pPr>
              <w:pStyle w:val="BodyText"/>
              <w:rPr>
                <w:lang w:val="en-NZ"/>
              </w:rPr>
            </w:pPr>
          </w:p>
        </w:tc>
      </w:tr>
      <w:tr w:rsidTr="001B38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rPr>
                <w:rStyle w:val="SpecialBold"/>
              </w:rPr>
              <w:t>Validation checks and/or calibration standards</w:t>
            </w:r>
          </w:p>
        </w:tc>
        <w:tc>
          <w:tcPr>
            <w:tcW w:w="0" w:type="auto"/>
            <w:tcBorders>
              <w:top w:val="nil"/>
              <w:left w:val="nil"/>
              <w:bottom w:val="nil"/>
              <w:right w:val="nil"/>
            </w:tcBorders>
            <w:tcMar>
              <w:top w:w="0" w:type="dxa"/>
              <w:left w:w="62" w:type="dxa"/>
              <w:bottom w:w="0" w:type="dxa"/>
              <w:right w:w="62" w:type="dxa"/>
            </w:tcMar>
          </w:tcPr>
          <w:p w:rsidR="00000000" w:rsidRPr="00DA5220" w:rsidP="00DA5220">
            <w:pPr>
              <w:pStyle w:val="BodyText"/>
            </w:pPr>
            <w:r w:rsidRPr="00DA5220">
              <w:t>Validation checks and/or calibration standards include, but are not limited to, one or more of:</w:t>
            </w:r>
          </w:p>
          <w:p w:rsidR="00000000" w:rsidRPr="00DA5220" w:rsidP="00DA5220">
            <w:pPr>
              <w:pStyle w:val="ListBullet"/>
            </w:pPr>
            <w:r w:rsidRPr="00DA5220">
              <w:t>positive and known positive controls</w:t>
            </w:r>
          </w:p>
          <w:p w:rsidR="00000000" w:rsidRPr="00DA5220" w:rsidP="00DA5220">
            <w:pPr>
              <w:pStyle w:val="ListBullet"/>
            </w:pPr>
            <w:r w:rsidRPr="00DA5220">
              <w:t>negative controls, such as substrate blanks</w:t>
            </w:r>
          </w:p>
          <w:p w:rsidR="00000000" w:rsidRPr="00DA5220" w:rsidP="00DA5220">
            <w:pPr>
              <w:pStyle w:val="ListBullet"/>
            </w:pPr>
            <w:r w:rsidRPr="00DA5220">
              <w:t>recovery check controls</w:t>
            </w:r>
          </w:p>
          <w:p w:rsidR="00000000" w:rsidRPr="00DA5220" w:rsidP="00DA5220">
            <w:pPr>
              <w:pStyle w:val="ListBullet"/>
            </w:pPr>
            <w:r w:rsidRPr="00DA5220">
              <w:t>certified reference materials</w:t>
            </w:r>
          </w:p>
          <w:p w:rsidR="00000000" w:rsidP="00DA5220">
            <w:pPr>
              <w:pStyle w:val="BodyText"/>
              <w:rPr>
                <w:lang w:val="en-NZ"/>
              </w:rPr>
            </w:pPr>
          </w:p>
        </w:tc>
      </w:tr>
      <w:tr w:rsidTr="001B38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rPr>
                <w:rStyle w:val="SpecialBold"/>
              </w:rPr>
              <w:t>Reviewing laboratory m</w:t>
            </w:r>
            <w:r w:rsidRPr="00DA5220">
              <w:rPr>
                <w:rStyle w:val="SpecialBold"/>
              </w:rPr>
              <w:t>ethodology and test results</w:t>
            </w:r>
          </w:p>
        </w:tc>
        <w:tc>
          <w:tcPr>
            <w:tcW w:w="0" w:type="auto"/>
            <w:tcBorders>
              <w:top w:val="nil"/>
              <w:left w:val="nil"/>
              <w:bottom w:val="nil"/>
              <w:right w:val="nil"/>
            </w:tcBorders>
            <w:tcMar>
              <w:top w:w="0" w:type="dxa"/>
              <w:left w:w="62" w:type="dxa"/>
              <w:bottom w:w="0" w:type="dxa"/>
              <w:right w:w="62" w:type="dxa"/>
            </w:tcMar>
          </w:tcPr>
          <w:p w:rsidR="00000000" w:rsidRPr="00DA5220" w:rsidP="00DA5220">
            <w:pPr>
              <w:pStyle w:val="BodyText"/>
            </w:pPr>
            <w:r w:rsidRPr="00DA5220">
              <w:t>Reviewing laboratory methodology and test results includes, but is not limited to, one or more of:</w:t>
            </w:r>
          </w:p>
          <w:p w:rsidR="00000000" w:rsidRPr="00DA5220" w:rsidP="00DA5220">
            <w:pPr>
              <w:pStyle w:val="ListBullet"/>
            </w:pPr>
            <w:r w:rsidRPr="00DA5220">
              <w:t>assessing the methodology for appropriate application to evidence</w:t>
            </w:r>
          </w:p>
          <w:p w:rsidR="00000000" w:rsidRPr="00DA5220" w:rsidP="00DA5220">
            <w:pPr>
              <w:pStyle w:val="ListBullet"/>
            </w:pPr>
            <w:r w:rsidRPr="00DA5220">
              <w:t>assessing the chain of custody and sample handling to ensure integrity</w:t>
            </w:r>
          </w:p>
          <w:p w:rsidR="00000000" w:rsidRPr="00DA5220" w:rsidP="00DA5220">
            <w:pPr>
              <w:pStyle w:val="ListBullet"/>
            </w:pPr>
            <w:r w:rsidRPr="00DA5220">
              <w:t>assessing testing procedures for compliance with quality system and judicial requirements</w:t>
            </w:r>
          </w:p>
          <w:p w:rsidR="00000000" w:rsidRPr="00DA5220" w:rsidP="00DA5220">
            <w:pPr>
              <w:pStyle w:val="ListBullet"/>
            </w:pPr>
            <w:r w:rsidRPr="00DA5220">
              <w:t>evaluating interpretation of test results for validity</w:t>
            </w:r>
          </w:p>
          <w:p w:rsidR="00000000" w:rsidP="00DA5220">
            <w:pPr>
              <w:pStyle w:val="BodyText"/>
              <w:rPr>
                <w:lang w:val="en-NZ"/>
              </w:rPr>
            </w:pPr>
          </w:p>
        </w:tc>
      </w:tr>
      <w:tr w:rsidTr="001B38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rPr>
                <w:rStyle w:val="SpecialBold"/>
              </w:rPr>
              <w:t xml:space="preserve">Safety procedures </w:t>
            </w:r>
          </w:p>
        </w:tc>
        <w:tc>
          <w:tcPr>
            <w:tcW w:w="0" w:type="auto"/>
            <w:tcBorders>
              <w:top w:val="nil"/>
              <w:left w:val="nil"/>
              <w:bottom w:val="nil"/>
              <w:right w:val="nil"/>
            </w:tcBorders>
            <w:tcMar>
              <w:top w:w="0" w:type="dxa"/>
              <w:left w:w="62" w:type="dxa"/>
              <w:bottom w:w="0" w:type="dxa"/>
              <w:right w:w="62" w:type="dxa"/>
            </w:tcMar>
          </w:tcPr>
          <w:p w:rsidR="00000000" w:rsidRPr="00DA5220" w:rsidP="00DA5220">
            <w:pPr>
              <w:pStyle w:val="BodyText"/>
            </w:pPr>
            <w:r w:rsidRPr="00DA5220">
              <w:t>Safety procedures i</w:t>
            </w:r>
            <w:r w:rsidRPr="00DA5220">
              <w:t>nclude, but are not limited to, one or more of:</w:t>
            </w:r>
          </w:p>
          <w:p w:rsidR="00000000" w:rsidRPr="00DA5220" w:rsidP="00DA5220">
            <w:pPr>
              <w:pStyle w:val="ListBullet"/>
            </w:pPr>
            <w:r w:rsidRPr="00DA5220">
              <w:t>ensuring access to service shut-off points</w:t>
            </w:r>
          </w:p>
          <w:p w:rsidR="00000000" w:rsidRPr="00DA5220" w:rsidP="00DA5220">
            <w:pPr>
              <w:pStyle w:val="ListBullet"/>
            </w:pPr>
            <w:r w:rsidRPr="00DA5220">
              <w:t>recognising and observing hazard warnings and safety signs</w:t>
            </w:r>
          </w:p>
          <w:p w:rsidR="00000000" w:rsidRPr="00DA5220" w:rsidP="00DA5220">
            <w:pPr>
              <w:pStyle w:val="ListBullet"/>
            </w:pPr>
            <w:r w:rsidRPr="00DA5220">
              <w:t>labelling of samples, reagents, aliquoted samples and hazardous materials</w:t>
            </w:r>
          </w:p>
          <w:p w:rsidR="00000000" w:rsidRPr="00DA5220" w:rsidP="00DA5220">
            <w:pPr>
              <w:pStyle w:val="ListBullet"/>
            </w:pPr>
            <w:r w:rsidRPr="00DA5220">
              <w:t>handling and storage of hazardo</w:t>
            </w:r>
            <w:r w:rsidRPr="00DA5220">
              <w:t>us materials and equipment in accordance with labelling, MSDS and manufacturer instructions</w:t>
            </w:r>
          </w:p>
          <w:p w:rsidR="00000000" w:rsidRPr="00DA5220" w:rsidP="00DA5220">
            <w:pPr>
              <w:pStyle w:val="ListBullet"/>
            </w:pPr>
            <w:r w:rsidRPr="00DA5220">
              <w:t>identifying and reporting operating problems or equipment malfunctions</w:t>
            </w:r>
          </w:p>
          <w:p w:rsidR="00000000" w:rsidRPr="00DA5220" w:rsidP="00DA5220">
            <w:pPr>
              <w:pStyle w:val="ListBullet"/>
            </w:pPr>
            <w:r w:rsidRPr="00DA5220">
              <w:t>cleaning and decontaminating equipment and work areas regularly using workplace procedures</w:t>
            </w:r>
          </w:p>
          <w:p w:rsidR="00000000" w:rsidRPr="00DA5220" w:rsidP="00DA5220">
            <w:pPr>
              <w:pStyle w:val="ListBullet"/>
            </w:pPr>
            <w:r w:rsidRPr="00DA5220">
              <w:t>us</w:t>
            </w:r>
            <w:r w:rsidRPr="00DA5220">
              <w:t>ing PPE, such as gloves, safety glasses, coveralls and gowns</w:t>
            </w:r>
          </w:p>
          <w:p w:rsidR="00000000" w:rsidRPr="00DA5220" w:rsidP="00DA5220">
            <w:pPr>
              <w:pStyle w:val="ListBullet"/>
            </w:pPr>
            <w:r w:rsidRPr="00DA5220">
              <w:t>use of fume hoods, direct extraction of vapours and gases</w:t>
            </w:r>
          </w:p>
          <w:p w:rsidR="00000000" w:rsidRPr="00DA5220" w:rsidP="00DA5220">
            <w:pPr>
              <w:pStyle w:val="ListBullet"/>
            </w:pPr>
            <w:r w:rsidRPr="00DA5220">
              <w:t>use of appropriate equipment, such as biohazard containers, laminar flow cabinets, Class I, II and III biohazard cabinets</w:t>
            </w:r>
          </w:p>
          <w:p w:rsidR="00000000" w:rsidRPr="00DA5220" w:rsidP="00DA5220">
            <w:pPr>
              <w:pStyle w:val="ListBullet"/>
            </w:pPr>
            <w:r w:rsidRPr="00DA5220">
              <w:t>minimising exposure to radiation ionising such as lasers, electromagnetic and UV radiation</w:t>
            </w:r>
          </w:p>
          <w:p w:rsidR="00000000" w:rsidRPr="00DA5220" w:rsidP="00DA5220">
            <w:pPr>
              <w:pStyle w:val="ListBullet"/>
            </w:pPr>
            <w:r w:rsidRPr="00DA5220">
              <w:t>reporting abnormal emissions, discharges and airborne contaminants, such as noise, light, solids, liquids, water/wastewater, gases, smoke, vapour, fumes, odour and p</w:t>
            </w:r>
            <w:r w:rsidRPr="00DA5220">
              <w:t>articulates, to appropriate personnel</w:t>
            </w:r>
          </w:p>
          <w:p w:rsidR="00000000" w:rsidP="00DA5220">
            <w:pPr>
              <w:pStyle w:val="BodyText"/>
              <w:rPr>
                <w:lang w:val="en-NZ"/>
              </w:rPr>
            </w:pPr>
          </w:p>
        </w:tc>
      </w:tr>
      <w:tr w:rsidTr="001B38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5220">
            <w:pPr>
              <w:pStyle w:val="BodyText"/>
              <w:rPr>
                <w:lang w:val="en-NZ"/>
              </w:rPr>
            </w:pPr>
            <w:r w:rsidRPr="00DA5220">
              <w:rPr>
                <w:rStyle w:val="SpecialBold"/>
              </w:rPr>
              <w:t>WHS and environmental management requirements</w:t>
            </w:r>
          </w:p>
        </w:tc>
        <w:tc>
          <w:tcPr>
            <w:tcW w:w="0" w:type="auto"/>
            <w:tcBorders>
              <w:top w:val="nil"/>
              <w:left w:val="nil"/>
              <w:bottom w:val="nil"/>
              <w:right w:val="nil"/>
            </w:tcBorders>
            <w:tcMar>
              <w:top w:w="0" w:type="dxa"/>
              <w:left w:w="62" w:type="dxa"/>
              <w:bottom w:w="0" w:type="dxa"/>
              <w:right w:w="62" w:type="dxa"/>
            </w:tcMar>
          </w:tcPr>
          <w:p w:rsidR="00000000" w:rsidRPr="00DA5220" w:rsidP="00DA5220">
            <w:pPr>
              <w:pStyle w:val="BodyText"/>
            </w:pPr>
            <w:r w:rsidRPr="00DA5220">
              <w:t>WHS and environmental management requirements include:</w:t>
            </w:r>
          </w:p>
          <w:p w:rsidR="00000000" w:rsidRPr="00DA5220" w:rsidP="00DA5220">
            <w:pPr>
              <w:pStyle w:val="BodyText"/>
            </w:pPr>
            <w:r w:rsidRPr="00DA5220">
              <w:rPr>
                <w:rStyle w:val="Symbols"/>
              </w:rPr>
              <w:t></w:t>
            </w:r>
            <w:r w:rsidRPr="00DA5220">
              <w:rPr>
                <w:rStyle w:val="Symbols"/>
              </w:rPr>
              <w:tab/>
            </w:r>
            <w:r w:rsidRPr="00DA5220">
              <w:t>complying with WHS and environmental management requirements at all times, which may be imposed through state/ter</w:t>
            </w:r>
            <w:r w:rsidRPr="00DA5220">
              <w:t>ritory or federal legislation. These requirements must not be compromised at any time</w:t>
            </w:r>
          </w:p>
          <w:p w:rsidR="00000000" w:rsidRPr="00DA5220" w:rsidP="00DA5220">
            <w:pPr>
              <w:pStyle w:val="BodyText"/>
            </w:pPr>
            <w:r w:rsidRPr="00DA5220">
              <w:rPr>
                <w:rStyle w:val="Symbols"/>
              </w:rPr>
              <w:t></w:t>
            </w:r>
            <w:r w:rsidRPr="00DA5220">
              <w:rPr>
                <w:rStyle w:val="Symbols"/>
              </w:rPr>
              <w:tab/>
            </w:r>
            <w:r w:rsidRPr="00DA5220">
              <w:t>applying standard precautions relating to the potentially hazardous nature of samples</w:t>
            </w:r>
          </w:p>
          <w:p w:rsidR="00000000" w:rsidRPr="00DA5220" w:rsidP="00DA5220">
            <w:pPr>
              <w:pStyle w:val="ListBullet"/>
            </w:pPr>
            <w:r w:rsidRPr="00DA5220">
              <w:t>accessing and applying current industry understanding of infection control issued</w:t>
            </w:r>
            <w:r w:rsidRPr="00DA5220">
              <w:t xml:space="preserve"> by the National Health and Medical Research Council (NHMRC) and State and Territory Departments of Health, where relevant</w:t>
            </w:r>
          </w:p>
        </w:tc>
      </w:tr>
    </w:tbl>
    <w:p w:rsidR="00000000" w:rsidRPr="00DA5220" w:rsidP="00DA5220">
      <w:pPr>
        <w:pStyle w:val="BodyText"/>
      </w:pPr>
    </w:p>
    <w:p w:rsidR="00000000" w:rsidRPr="00DA5220" w:rsidP="00DA5220">
      <w:pPr>
        <w:pStyle w:val="AllowPageBreak"/>
      </w:pPr>
    </w:p>
    <w:p w:rsidR="00000000" w:rsidRPr="00DA5220" w:rsidP="00DA5220">
      <w:pPr>
        <w:pStyle w:val="Heading1"/>
      </w:pPr>
      <w:bookmarkStart w:id="9" w:name="O_901991"/>
      <w:bookmarkEnd w:id="9"/>
      <w:r w:rsidRPr="00DA5220">
        <w:t>Unit Mapping Information</w:t>
      </w:r>
    </w:p>
    <w:p w:rsidR="00000000" w:rsidRPr="00DA5220" w:rsidP="00DA5220">
      <w:pPr>
        <w:pStyle w:val="BodyText"/>
      </w:pPr>
      <w:r w:rsidRPr="00DA5220">
        <w:t>Release 1. Supersedes and is equivalent to MSL975025A Perform complex labor</w:t>
      </w:r>
      <w:r w:rsidRPr="00DA5220">
        <w:t>atory testing of forensic samples</w:t>
      </w:r>
    </w:p>
    <w:p w:rsidR="00000000" w:rsidRPr="00DA5220" w:rsidP="00DA5220">
      <w:pPr>
        <w:pStyle w:val="AllowPageBreak"/>
      </w:pPr>
    </w:p>
    <w:p w:rsidR="00000000" w:rsidRPr="00DA5220" w:rsidP="00DA5220">
      <w:pPr>
        <w:pStyle w:val="Heading1"/>
      </w:pPr>
      <w:bookmarkStart w:id="10" w:name="O_901984"/>
      <w:bookmarkEnd w:id="10"/>
      <w:r w:rsidRPr="00DA5220">
        <w:t>Links</w:t>
      </w:r>
    </w:p>
    <w:p w:rsidR="00000000" w:rsidRPr="00DA5220" w:rsidP="00DA5220">
      <w:pPr>
        <w:pStyle w:val="BodyText"/>
      </w:pPr>
      <w:r w:rsidRPr="00DA5220">
        <w:t>MSA Training Package Implementation Guides - http://mskills.org.au/training-packages/info/</w:t>
      </w:r>
    </w:p>
    <w:p w:rsidR="00000000" w:rsidRPr="00DA5220" w:rsidP="00DA5220"/>
    <w:sectPr w:rsidSect="00DA52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2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220" w:rsidRPr="001B3809" w:rsidP="001B38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2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809" w:rsidP="00DA52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B3809" w:rsidP="00DA522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B3809" w:rsidP="00DA52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2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220" w:rsidRPr="001B3809" w:rsidP="001B38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2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809" w:rsidRPr="002D2AF8" w:rsidP="00DA5220">
    <w:pPr>
      <w:pStyle w:val="Header"/>
      <w:framePr w:wrap="around"/>
    </w:pPr>
    <w:r>
      <w:fldChar w:fldCharType="begin"/>
    </w:r>
    <w:r>
      <w:instrText xml:space="preserve"> TITLE   \* MERGEFORMAT </w:instrText>
    </w:r>
    <w:r>
      <w:fldChar w:fldCharType="separate"/>
    </w:r>
    <w:r>
      <w:t>MSL975025 Perform complex laboratory testing of forensic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1B3809" w:rsidP="00DA52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8C5A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38E8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2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5220"/>
    <w:pPr>
      <w:spacing w:before="360" w:after="60"/>
      <w:outlineLvl w:val="0"/>
    </w:pPr>
    <w:rPr>
      <w:sz w:val="32"/>
    </w:rPr>
  </w:style>
  <w:style w:type="paragraph" w:styleId="Heading2">
    <w:name w:val="heading 2"/>
    <w:basedOn w:val="HeadingBase"/>
    <w:next w:val="BodyText"/>
    <w:link w:val="Heading2Char"/>
    <w:qFormat/>
    <w:rsid w:val="00DA5220"/>
    <w:pPr>
      <w:keepLines/>
      <w:spacing w:before="240" w:after="120"/>
      <w:outlineLvl w:val="1"/>
    </w:pPr>
    <w:rPr>
      <w:sz w:val="28"/>
      <w:szCs w:val="40"/>
    </w:rPr>
  </w:style>
  <w:style w:type="paragraph" w:styleId="Heading3">
    <w:name w:val="heading 3"/>
    <w:basedOn w:val="HeadingBase"/>
    <w:next w:val="BodyText"/>
    <w:link w:val="Heading3Char"/>
    <w:qFormat/>
    <w:rsid w:val="00DA5220"/>
    <w:pPr>
      <w:spacing w:before="180" w:after="120"/>
      <w:outlineLvl w:val="2"/>
    </w:pPr>
    <w:rPr>
      <w:spacing w:val="-10"/>
      <w:kern w:val="32"/>
    </w:rPr>
  </w:style>
  <w:style w:type="paragraph" w:styleId="Heading4">
    <w:name w:val="heading 4"/>
    <w:basedOn w:val="HeadingBase"/>
    <w:next w:val="BodyText"/>
    <w:link w:val="Heading4Char"/>
    <w:qFormat/>
    <w:rsid w:val="00DA5220"/>
    <w:pPr>
      <w:spacing w:before="160" w:after="120"/>
      <w:outlineLvl w:val="3"/>
    </w:pPr>
    <w:rPr>
      <w:sz w:val="22"/>
    </w:rPr>
  </w:style>
  <w:style w:type="paragraph" w:styleId="Heading5">
    <w:name w:val="heading 5"/>
    <w:basedOn w:val="HeadingBase"/>
    <w:next w:val="Normal"/>
    <w:link w:val="Heading5Char"/>
    <w:qFormat/>
    <w:rsid w:val="00DA5220"/>
    <w:pPr>
      <w:spacing w:before="80"/>
      <w:outlineLvl w:val="4"/>
    </w:pPr>
    <w:rPr>
      <w:color w:val="918585"/>
      <w:sz w:val="20"/>
    </w:rPr>
  </w:style>
  <w:style w:type="paragraph" w:styleId="Heading6">
    <w:name w:val="heading 6"/>
    <w:basedOn w:val="HeadingBase"/>
    <w:next w:val="Normal"/>
    <w:link w:val="Heading6Char"/>
    <w:qFormat/>
    <w:rsid w:val="00DA5220"/>
    <w:pPr>
      <w:spacing w:before="60"/>
      <w:outlineLvl w:val="5"/>
    </w:pPr>
    <w:rPr>
      <w:color w:val="918585"/>
      <w:sz w:val="20"/>
    </w:rPr>
  </w:style>
  <w:style w:type="paragraph" w:styleId="Heading7">
    <w:name w:val="heading 7"/>
    <w:basedOn w:val="Normal"/>
    <w:next w:val="Normal"/>
    <w:link w:val="Heading7Char"/>
    <w:qFormat/>
    <w:rsid w:val="00DA5220"/>
    <w:pPr>
      <w:ind w:left="720"/>
      <w:outlineLvl w:val="6"/>
    </w:pPr>
    <w:rPr>
      <w:i/>
    </w:rPr>
  </w:style>
  <w:style w:type="paragraph" w:styleId="Heading8">
    <w:name w:val="heading 8"/>
    <w:basedOn w:val="Normal"/>
    <w:next w:val="Normal"/>
    <w:link w:val="Heading8Char"/>
    <w:qFormat/>
    <w:rsid w:val="00DA5220"/>
    <w:pPr>
      <w:ind w:left="720"/>
      <w:outlineLvl w:val="7"/>
    </w:pPr>
    <w:rPr>
      <w:i/>
    </w:rPr>
  </w:style>
  <w:style w:type="paragraph" w:styleId="Heading9">
    <w:name w:val="heading 9"/>
    <w:basedOn w:val="Normal"/>
    <w:next w:val="Normal"/>
    <w:link w:val="Heading9Char"/>
    <w:qFormat/>
    <w:rsid w:val="00DA5220"/>
    <w:pPr>
      <w:ind w:left="720"/>
      <w:outlineLvl w:val="8"/>
    </w:pPr>
    <w:rPr>
      <w:i/>
    </w:rPr>
  </w:style>
  <w:style w:type="character" w:default="1" w:styleId="DefaultParagraphFont">
    <w:name w:val="Default Paragraph Font"/>
    <w:uiPriority w:val="1"/>
    <w:unhideWhenUsed/>
    <w:rsid w:val="00DA52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5220"/>
  </w:style>
  <w:style w:type="character" w:customStyle="1" w:styleId="Heading1Char">
    <w:name w:val="Heading 1 Char"/>
    <w:basedOn w:val="DefaultParagraphFont"/>
    <w:link w:val="Heading1"/>
    <w:rsid w:val="00DA5220"/>
    <w:rPr>
      <w:rFonts w:ascii="Times New Roman" w:eastAsia="Times New Roman" w:hAnsi="Times New Roman" w:cs="Times New Roman"/>
      <w:b/>
      <w:sz w:val="32"/>
      <w:szCs w:val="20"/>
      <w:lang w:eastAsia="en-US"/>
    </w:rPr>
  </w:style>
  <w:style w:type="paragraph" w:styleId="BodyText">
    <w:name w:val="Body Text"/>
    <w:basedOn w:val="Normal"/>
    <w:link w:val="BodyTextChar"/>
    <w:rsid w:val="00DA52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5220"/>
    <w:rPr>
      <w:rFonts w:ascii="Times New Roman" w:eastAsia="Times New Roman" w:hAnsi="Times New Roman" w:cs="Times New Roman"/>
      <w:sz w:val="24"/>
      <w:lang w:eastAsia="en-US"/>
    </w:rPr>
  </w:style>
  <w:style w:type="paragraph" w:styleId="ListBullet">
    <w:name w:val="List Bullet"/>
    <w:basedOn w:val="List"/>
    <w:rsid w:val="00DA5220"/>
    <w:pPr>
      <w:numPr>
        <w:numId w:val="12"/>
      </w:numPr>
      <w:tabs>
        <w:tab w:val="clear" w:pos="340"/>
      </w:tabs>
      <w:spacing w:before="40" w:after="40"/>
    </w:pPr>
  </w:style>
  <w:style w:type="character" w:customStyle="1" w:styleId="SpecialBold">
    <w:name w:val="Special Bold"/>
    <w:basedOn w:val="DefaultParagraphFont"/>
    <w:rsid w:val="00DA5220"/>
    <w:rPr>
      <w:b/>
      <w:spacing w:val="0"/>
    </w:rPr>
  </w:style>
  <w:style w:type="paragraph" w:customStyle="1" w:styleId="SuperHeading">
    <w:name w:val="SuperHeading"/>
    <w:basedOn w:val="Normal"/>
    <w:rsid w:val="00DA5220"/>
    <w:pPr>
      <w:spacing w:before="240" w:after="120"/>
      <w:outlineLvl w:val="0"/>
    </w:pPr>
    <w:rPr>
      <w:rFonts w:ascii="Times New Roman" w:hAnsi="Times New Roman"/>
      <w:b/>
      <w:sz w:val="32"/>
    </w:rPr>
  </w:style>
  <w:style w:type="paragraph" w:customStyle="1" w:styleId="AllowPageBreak">
    <w:name w:val="AllowPageBreak"/>
    <w:rsid w:val="00DA52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DA5220"/>
    <w:rPr>
      <w:rFonts w:ascii="Symbol" w:hAnsi="Symbol"/>
    </w:rPr>
  </w:style>
  <w:style w:type="character" w:customStyle="1" w:styleId="Heading2Char">
    <w:name w:val="Heading 2 Char"/>
    <w:basedOn w:val="DefaultParagraphFont"/>
    <w:link w:val="Heading2"/>
    <w:rsid w:val="00DA52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52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52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52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52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52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52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5220"/>
    <w:rPr>
      <w:rFonts w:ascii="Courier New" w:eastAsia="Times New Roman" w:hAnsi="Courier New" w:cs="Times New Roman"/>
      <w:i/>
      <w:szCs w:val="20"/>
      <w:lang w:eastAsia="en-US"/>
    </w:rPr>
  </w:style>
  <w:style w:type="paragraph" w:customStyle="1" w:styleId="HeadingBase">
    <w:name w:val="Heading Base"/>
    <w:rsid w:val="00DA52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5220"/>
    <w:pPr>
      <w:tabs>
        <w:tab w:val="right" w:leader="dot" w:pos="9072"/>
      </w:tabs>
      <w:ind w:left="567"/>
    </w:pPr>
    <w:rPr>
      <w:szCs w:val="22"/>
    </w:rPr>
  </w:style>
  <w:style w:type="paragraph" w:customStyle="1" w:styleId="TOCBase">
    <w:name w:val="TOC Base"/>
    <w:rsid w:val="00DA52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5220"/>
    <w:pPr>
      <w:tabs>
        <w:tab w:val="right" w:leader="dot" w:pos="9072"/>
      </w:tabs>
      <w:spacing w:before="40" w:after="40"/>
      <w:ind w:left="284"/>
    </w:pPr>
    <w:rPr>
      <w:rFonts w:ascii="Times New Roman" w:hAnsi="Times New Roman"/>
    </w:rPr>
  </w:style>
  <w:style w:type="paragraph" w:styleId="TOC1">
    <w:name w:val="toc 1"/>
    <w:basedOn w:val="TOCBase"/>
    <w:next w:val="Normal"/>
    <w:rsid w:val="00DA52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52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5220"/>
    <w:rPr>
      <w:rFonts w:ascii="Times New Roman" w:eastAsia="Times New Roman" w:hAnsi="Times New Roman" w:cs="Times New Roman"/>
      <w:sz w:val="16"/>
      <w:lang w:eastAsia="en-US"/>
    </w:rPr>
  </w:style>
  <w:style w:type="paragraph" w:styleId="Title">
    <w:name w:val="Title"/>
    <w:basedOn w:val="HeadingBase"/>
    <w:link w:val="TitleChar"/>
    <w:qFormat/>
    <w:rsid w:val="00DA5220"/>
    <w:pPr>
      <w:spacing w:before="5040"/>
      <w:jc w:val="center"/>
    </w:pPr>
    <w:rPr>
      <w:sz w:val="48"/>
      <w:szCs w:val="72"/>
      <w:lang w:val="en-US"/>
    </w:rPr>
  </w:style>
  <w:style w:type="character" w:customStyle="1" w:styleId="TitleChar">
    <w:name w:val="Title Char"/>
    <w:basedOn w:val="DefaultParagraphFont"/>
    <w:link w:val="Title"/>
    <w:rsid w:val="00DA52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5220"/>
    <w:pPr>
      <w:tabs>
        <w:tab w:val="left" w:pos="3600"/>
        <w:tab w:val="left" w:pos="3958"/>
      </w:tabs>
    </w:pPr>
  </w:style>
  <w:style w:type="paragraph" w:styleId="List">
    <w:name w:val="List"/>
    <w:basedOn w:val="BodyText"/>
    <w:next w:val="BodyText"/>
    <w:rsid w:val="00DA5220"/>
    <w:pPr>
      <w:tabs>
        <w:tab w:val="left" w:pos="340"/>
      </w:tabs>
      <w:spacing w:before="60" w:after="60"/>
      <w:ind w:left="340" w:hanging="340"/>
    </w:pPr>
  </w:style>
  <w:style w:type="paragraph" w:customStyle="1" w:styleId="Note">
    <w:name w:val="Note"/>
    <w:basedOn w:val="BodyText"/>
    <w:rsid w:val="00DA52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5220"/>
    <w:pPr>
      <w:framePr w:wrap="auto" w:hAnchor="text" w:y="6049"/>
    </w:pPr>
    <w:rPr>
      <w:color w:val="000000"/>
      <w:sz w:val="40"/>
    </w:rPr>
  </w:style>
  <w:style w:type="paragraph" w:customStyle="1" w:styleId="TOCTitle">
    <w:name w:val="TOCTitle"/>
    <w:basedOn w:val="Heading1"/>
    <w:rsid w:val="00DA5220"/>
    <w:pPr>
      <w:spacing w:after="240"/>
      <w:jc w:val="center"/>
      <w:outlineLvl w:val="9"/>
    </w:pPr>
    <w:rPr>
      <w:caps/>
    </w:rPr>
  </w:style>
  <w:style w:type="paragraph" w:customStyle="1" w:styleId="Version">
    <w:name w:val="Version"/>
    <w:rsid w:val="00DA52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5220"/>
    <w:pPr>
      <w:numPr>
        <w:numId w:val="13"/>
      </w:numPr>
      <w:tabs>
        <w:tab w:val="clear" w:pos="680"/>
      </w:tabs>
    </w:pPr>
  </w:style>
  <w:style w:type="paragraph" w:styleId="Index1">
    <w:name w:val="index 1"/>
    <w:basedOn w:val="Normal"/>
    <w:next w:val="Normal"/>
    <w:semiHidden/>
    <w:rsid w:val="00DA5220"/>
    <w:pPr>
      <w:keepNext w:val="0"/>
      <w:tabs>
        <w:tab w:val="right" w:pos="4176"/>
      </w:tabs>
      <w:ind w:left="198" w:hanging="198"/>
    </w:pPr>
    <w:rPr>
      <w:rFonts w:ascii="Garamond" w:hAnsi="Garamond"/>
    </w:rPr>
  </w:style>
  <w:style w:type="paragraph" w:styleId="IndexHeading">
    <w:name w:val="index heading"/>
    <w:basedOn w:val="Normal"/>
    <w:next w:val="Index1"/>
    <w:semiHidden/>
    <w:rsid w:val="00DA5220"/>
    <w:pPr>
      <w:spacing w:before="120" w:after="120"/>
    </w:pPr>
    <w:rPr>
      <w:rFonts w:ascii="Arial" w:hAnsi="Arial"/>
      <w:b/>
      <w:color w:val="918585"/>
      <w:sz w:val="24"/>
    </w:rPr>
  </w:style>
  <w:style w:type="paragraph" w:styleId="Header">
    <w:name w:val="header"/>
    <w:basedOn w:val="Normal"/>
    <w:link w:val="HeaderChar"/>
    <w:rsid w:val="00DA52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5220"/>
    <w:rPr>
      <w:rFonts w:ascii="Times New Roman" w:eastAsia="Times New Roman" w:hAnsi="Times New Roman" w:cs="Times New Roman"/>
      <w:sz w:val="16"/>
      <w:szCs w:val="20"/>
      <w:lang w:val="en-GB" w:eastAsia="en-US"/>
    </w:rPr>
  </w:style>
  <w:style w:type="paragraph" w:customStyle="1" w:styleId="Chapter">
    <w:name w:val="Chapter"/>
    <w:basedOn w:val="Normal"/>
    <w:rsid w:val="00DA5220"/>
    <w:pPr>
      <w:spacing w:before="240"/>
    </w:pPr>
    <w:rPr>
      <w:rFonts w:ascii="Times New Roman" w:hAnsi="Times New Roman"/>
      <w:smallCaps/>
      <w:spacing w:val="80"/>
      <w:sz w:val="28"/>
    </w:rPr>
  </w:style>
  <w:style w:type="paragraph" w:customStyle="1" w:styleId="InChapter">
    <w:name w:val="InChapter"/>
    <w:basedOn w:val="Heading3"/>
    <w:rsid w:val="00DA5220"/>
    <w:pPr>
      <w:spacing w:after="240"/>
      <w:outlineLvl w:val="9"/>
    </w:pPr>
    <w:rPr>
      <w:noProof/>
    </w:rPr>
  </w:style>
  <w:style w:type="paragraph" w:styleId="Index2">
    <w:name w:val="index 2"/>
    <w:basedOn w:val="Normal"/>
    <w:next w:val="Normal"/>
    <w:semiHidden/>
    <w:rsid w:val="00DA5220"/>
    <w:pPr>
      <w:tabs>
        <w:tab w:val="right" w:pos="4176"/>
      </w:tabs>
      <w:ind w:left="568" w:hanging="284"/>
    </w:pPr>
    <w:rPr>
      <w:rFonts w:ascii="Garamond" w:hAnsi="Garamond"/>
    </w:rPr>
  </w:style>
  <w:style w:type="paragraph" w:customStyle="1" w:styleId="Byline">
    <w:name w:val="Byline"/>
    <w:rsid w:val="00DA52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5220"/>
    <w:pPr>
      <w:tabs>
        <w:tab w:val="clear" w:pos="3600"/>
        <w:tab w:val="clear" w:pos="3958"/>
      </w:tabs>
      <w:jc w:val="right"/>
    </w:pPr>
  </w:style>
  <w:style w:type="character" w:styleId="Emphasis">
    <w:name w:val="Emphasis"/>
    <w:basedOn w:val="DefaultParagraphFont"/>
    <w:qFormat/>
    <w:rsid w:val="00DA5220"/>
    <w:rPr>
      <w:i/>
    </w:rPr>
  </w:style>
  <w:style w:type="paragraph" w:styleId="Caption">
    <w:name w:val="caption"/>
    <w:basedOn w:val="BodyText"/>
    <w:next w:val="Normal"/>
    <w:qFormat/>
    <w:rsid w:val="00DA5220"/>
    <w:pPr>
      <w:framePr w:w="2268" w:hSpace="181" w:vSpace="181" w:wrap="around" w:vAnchor="text" w:hAnchor="page" w:x="1135" w:y="285" w:anchorLock="1"/>
    </w:pPr>
    <w:rPr>
      <w:i/>
    </w:rPr>
  </w:style>
  <w:style w:type="paragraph" w:customStyle="1" w:styleId="MiniTOCTitle">
    <w:name w:val="MiniTOCTitle"/>
    <w:basedOn w:val="Heading4"/>
    <w:rsid w:val="00DA5220"/>
    <w:pPr>
      <w:spacing w:before="240"/>
      <w:outlineLvl w:val="9"/>
    </w:pPr>
    <w:rPr>
      <w:noProof/>
      <w:sz w:val="24"/>
    </w:rPr>
  </w:style>
  <w:style w:type="paragraph" w:customStyle="1" w:styleId="MiniTOCItem">
    <w:name w:val="MiniTOCItem"/>
    <w:basedOn w:val="ListBullet"/>
    <w:rsid w:val="00DA5220"/>
    <w:pPr>
      <w:numPr>
        <w:numId w:val="0"/>
      </w:numPr>
      <w:tabs>
        <w:tab w:val="right" w:leader="dot" w:pos="6521"/>
      </w:tabs>
      <w:spacing w:before="0" w:after="0"/>
    </w:pPr>
  </w:style>
  <w:style w:type="paragraph" w:customStyle="1" w:styleId="TOFTitle">
    <w:name w:val="TOFTitle"/>
    <w:basedOn w:val="TOCTitle"/>
    <w:rsid w:val="00DA5220"/>
  </w:style>
  <w:style w:type="paragraph" w:styleId="TableofFigures">
    <w:name w:val="table of figures"/>
    <w:basedOn w:val="Normal"/>
    <w:next w:val="Normal"/>
    <w:semiHidden/>
    <w:rsid w:val="00DA5220"/>
    <w:pPr>
      <w:tabs>
        <w:tab w:val="right" w:leader="dot" w:pos="9072"/>
      </w:tabs>
      <w:ind w:left="970" w:hanging="403"/>
    </w:pPr>
    <w:rPr>
      <w:rFonts w:ascii="Times New Roman" w:hAnsi="Times New Roman"/>
      <w:b/>
    </w:rPr>
  </w:style>
  <w:style w:type="paragraph" w:styleId="ListNumber">
    <w:name w:val="List Number"/>
    <w:basedOn w:val="List"/>
    <w:rsid w:val="00DA5220"/>
    <w:pPr>
      <w:numPr>
        <w:numId w:val="10"/>
      </w:numPr>
    </w:pPr>
  </w:style>
  <w:style w:type="character" w:customStyle="1" w:styleId="WingdingSymbols">
    <w:name w:val="Wingding Symbols"/>
    <w:rsid w:val="00DA5220"/>
    <w:rPr>
      <w:rFonts w:ascii="Wingdings" w:hAnsi="Wingdings"/>
    </w:rPr>
  </w:style>
  <w:style w:type="paragraph" w:customStyle="1" w:styleId="TableHeading">
    <w:name w:val="Table Heading"/>
    <w:basedOn w:val="HeadingBase"/>
    <w:rsid w:val="00DA5220"/>
    <w:pPr>
      <w:keepLines/>
      <w:pBdr>
        <w:bottom w:val="single" w:sz="6" w:space="1" w:color="918585"/>
      </w:pBdr>
      <w:spacing w:before="240"/>
    </w:pPr>
  </w:style>
  <w:style w:type="character" w:customStyle="1" w:styleId="HotSpot">
    <w:name w:val="HotSpot"/>
    <w:rsid w:val="00DA5220"/>
    <w:rPr>
      <w:color w:val="0033CC"/>
      <w:u w:val="none"/>
    </w:rPr>
  </w:style>
  <w:style w:type="paragraph" w:customStyle="1" w:styleId="BodyTextRight">
    <w:name w:val="Body Text Right"/>
    <w:basedOn w:val="BodyText"/>
    <w:rsid w:val="00DA5220"/>
    <w:pPr>
      <w:spacing w:before="0" w:after="0"/>
      <w:jc w:val="right"/>
    </w:pPr>
  </w:style>
  <w:style w:type="paragraph" w:styleId="Index3">
    <w:name w:val="index 3"/>
    <w:basedOn w:val="ListNumber2"/>
    <w:next w:val="Normal"/>
    <w:semiHidden/>
    <w:rsid w:val="00DA5220"/>
    <w:pPr>
      <w:numPr>
        <w:numId w:val="0"/>
      </w:numPr>
      <w:tabs>
        <w:tab w:val="right" w:leader="dot" w:pos="4176"/>
      </w:tabs>
    </w:pPr>
  </w:style>
  <w:style w:type="paragraph" w:styleId="ListNumber2">
    <w:name w:val="List Number 2"/>
    <w:basedOn w:val="List2"/>
    <w:rsid w:val="00DA5220"/>
    <w:pPr>
      <w:numPr>
        <w:numId w:val="9"/>
      </w:numPr>
      <w:tabs>
        <w:tab w:val="clear" w:pos="1060"/>
      </w:tabs>
    </w:pPr>
  </w:style>
  <w:style w:type="paragraph" w:customStyle="1" w:styleId="MarginNote">
    <w:name w:val="Margin Note"/>
    <w:basedOn w:val="BodyText"/>
    <w:rsid w:val="00DA52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52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52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5220"/>
    <w:rPr>
      <w:sz w:val="32"/>
    </w:rPr>
  </w:style>
  <w:style w:type="paragraph" w:customStyle="1" w:styleId="HeadingProcedure">
    <w:name w:val="Heading Procedure"/>
    <w:basedOn w:val="HeadingBase"/>
    <w:next w:val="Normal"/>
    <w:rsid w:val="00DA5220"/>
    <w:pPr>
      <w:tabs>
        <w:tab w:val="left" w:pos="0"/>
      </w:tabs>
      <w:spacing w:before="120" w:after="60"/>
    </w:pPr>
    <w:rPr>
      <w:i/>
      <w:color w:val="918585"/>
      <w:sz w:val="22"/>
    </w:rPr>
  </w:style>
  <w:style w:type="paragraph" w:customStyle="1" w:styleId="TableBodyText">
    <w:name w:val="Table Body Text"/>
    <w:basedOn w:val="BodyText"/>
    <w:rsid w:val="00DA5220"/>
    <w:pPr>
      <w:spacing w:before="60" w:after="60"/>
    </w:pPr>
  </w:style>
  <w:style w:type="paragraph" w:styleId="ListContinue">
    <w:name w:val="List Continue"/>
    <w:basedOn w:val="List"/>
    <w:rsid w:val="00DA5220"/>
    <w:pPr>
      <w:ind w:firstLine="0"/>
    </w:pPr>
  </w:style>
  <w:style w:type="paragraph" w:customStyle="1" w:styleId="ListNote">
    <w:name w:val="List Note"/>
    <w:basedOn w:val="List"/>
    <w:rsid w:val="00DA5220"/>
    <w:pPr>
      <w:pBdr>
        <w:top w:val="single" w:sz="6" w:space="2" w:color="918585"/>
        <w:bottom w:val="single" w:sz="6" w:space="2" w:color="918585"/>
      </w:pBdr>
      <w:tabs>
        <w:tab w:val="left" w:pos="1021"/>
      </w:tabs>
      <w:ind w:firstLine="0"/>
    </w:pPr>
  </w:style>
  <w:style w:type="paragraph" w:customStyle="1" w:styleId="Warning">
    <w:name w:val="Warning"/>
    <w:basedOn w:val="BodyText"/>
    <w:rsid w:val="00DA5220"/>
    <w:pPr>
      <w:shd w:val="clear" w:color="auto" w:fill="D9D9D9"/>
      <w:tabs>
        <w:tab w:val="left" w:pos="992"/>
      </w:tabs>
      <w:ind w:left="119" w:right="119"/>
    </w:pPr>
    <w:rPr>
      <w:sz w:val="20"/>
    </w:rPr>
  </w:style>
  <w:style w:type="paragraph" w:customStyle="1" w:styleId="MarginIcons">
    <w:name w:val="Margin Icons"/>
    <w:basedOn w:val="BodyText"/>
    <w:rsid w:val="00DA52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5220"/>
    <w:rPr>
      <w:rFonts w:ascii="Courier New" w:hAnsi="Courier New"/>
    </w:rPr>
  </w:style>
  <w:style w:type="paragraph" w:customStyle="1" w:styleId="NoteBullet">
    <w:name w:val="Note Bullet"/>
    <w:basedOn w:val="Note"/>
    <w:rsid w:val="00DA5220"/>
    <w:pPr>
      <w:tabs>
        <w:tab w:val="clear" w:pos="680"/>
      </w:tabs>
      <w:spacing w:before="60" w:after="60"/>
    </w:pPr>
  </w:style>
  <w:style w:type="paragraph" w:customStyle="1" w:styleId="SubHeading2">
    <w:name w:val="SubHeading2"/>
    <w:basedOn w:val="HeadingBase"/>
    <w:rsid w:val="00DA5220"/>
    <w:pPr>
      <w:spacing w:before="240" w:after="60"/>
    </w:pPr>
    <w:rPr>
      <w:sz w:val="20"/>
    </w:rPr>
  </w:style>
  <w:style w:type="paragraph" w:customStyle="1" w:styleId="SubHeading1">
    <w:name w:val="SubHeading1"/>
    <w:basedOn w:val="HeadingBase"/>
    <w:rsid w:val="00DA5220"/>
    <w:pPr>
      <w:spacing w:before="240" w:after="60"/>
    </w:pPr>
    <w:rPr>
      <w:color w:val="918585"/>
      <w:sz w:val="22"/>
    </w:rPr>
  </w:style>
  <w:style w:type="paragraph" w:customStyle="1" w:styleId="SideHeading">
    <w:name w:val="Side Heading"/>
    <w:basedOn w:val="HeadingBase"/>
    <w:rsid w:val="00DA52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5220"/>
    <w:pPr>
      <w:tabs>
        <w:tab w:val="num" w:pos="360"/>
      </w:tabs>
    </w:pPr>
  </w:style>
  <w:style w:type="paragraph" w:styleId="PlainText">
    <w:name w:val="Plain Text"/>
    <w:basedOn w:val="Normal"/>
    <w:link w:val="PlainTextChar"/>
    <w:rsid w:val="00DA5220"/>
    <w:rPr>
      <w:sz w:val="20"/>
    </w:rPr>
  </w:style>
  <w:style w:type="character" w:customStyle="1" w:styleId="PlainTextChar">
    <w:name w:val="Plain Text Char"/>
    <w:basedOn w:val="DefaultParagraphFont"/>
    <w:link w:val="PlainText"/>
    <w:rsid w:val="00DA5220"/>
    <w:rPr>
      <w:rFonts w:ascii="Courier New" w:eastAsia="Times New Roman" w:hAnsi="Courier New" w:cs="Times New Roman"/>
      <w:sz w:val="20"/>
      <w:szCs w:val="20"/>
      <w:lang w:eastAsia="en-US"/>
    </w:rPr>
  </w:style>
  <w:style w:type="character" w:customStyle="1" w:styleId="MenuOption">
    <w:name w:val="Menu Option"/>
    <w:basedOn w:val="DefaultParagraphFont"/>
    <w:rsid w:val="00DA5220"/>
    <w:rPr>
      <w:b/>
      <w:smallCaps/>
    </w:rPr>
  </w:style>
  <w:style w:type="paragraph" w:customStyle="1" w:styleId="TableListNumber">
    <w:name w:val="Table List Number"/>
    <w:basedOn w:val="ListNumber"/>
    <w:rsid w:val="00DA5220"/>
    <w:pPr>
      <w:numPr>
        <w:numId w:val="0"/>
      </w:numPr>
    </w:pPr>
  </w:style>
  <w:style w:type="paragraph" w:styleId="TOC4">
    <w:name w:val="toc 4"/>
    <w:basedOn w:val="TOCBase"/>
    <w:next w:val="Normal"/>
    <w:semiHidden/>
    <w:rsid w:val="00DA5220"/>
    <w:pPr>
      <w:tabs>
        <w:tab w:val="right" w:leader="dot" w:pos="9071"/>
      </w:tabs>
      <w:ind w:left="1701"/>
    </w:pPr>
  </w:style>
  <w:style w:type="paragraph" w:customStyle="1" w:styleId="ListAlpha">
    <w:name w:val="List Alpha"/>
    <w:basedOn w:val="List"/>
    <w:rsid w:val="00DA5220"/>
    <w:pPr>
      <w:numPr>
        <w:numId w:val="8"/>
      </w:numPr>
    </w:pPr>
  </w:style>
  <w:style w:type="paragraph" w:customStyle="1" w:styleId="ListAlpha2">
    <w:name w:val="List Alpha 2"/>
    <w:basedOn w:val="List2"/>
    <w:rsid w:val="00DA5220"/>
    <w:pPr>
      <w:numPr>
        <w:numId w:val="7"/>
      </w:numPr>
    </w:pPr>
  </w:style>
  <w:style w:type="paragraph" w:styleId="List2">
    <w:name w:val="List 2"/>
    <w:basedOn w:val="BodyText"/>
    <w:rsid w:val="00DA5220"/>
    <w:pPr>
      <w:tabs>
        <w:tab w:val="left" w:pos="680"/>
      </w:tabs>
      <w:spacing w:before="60" w:after="60"/>
      <w:ind w:left="680" w:hanging="340"/>
    </w:pPr>
  </w:style>
  <w:style w:type="paragraph" w:styleId="List3">
    <w:name w:val="List 3"/>
    <w:basedOn w:val="BodyText"/>
    <w:rsid w:val="00DA5220"/>
    <w:pPr>
      <w:tabs>
        <w:tab w:val="left" w:pos="1021"/>
      </w:tabs>
      <w:spacing w:before="60" w:after="60"/>
      <w:ind w:left="1020" w:hanging="340"/>
    </w:pPr>
  </w:style>
  <w:style w:type="paragraph" w:styleId="List4">
    <w:name w:val="List 4"/>
    <w:basedOn w:val="BodyText"/>
    <w:rsid w:val="00DA5220"/>
    <w:pPr>
      <w:tabs>
        <w:tab w:val="left" w:pos="1361"/>
      </w:tabs>
      <w:spacing w:before="60" w:after="60"/>
      <w:ind w:left="1361" w:hanging="340"/>
    </w:pPr>
  </w:style>
  <w:style w:type="paragraph" w:styleId="List5">
    <w:name w:val="List 5"/>
    <w:basedOn w:val="BodyText"/>
    <w:rsid w:val="00DA5220"/>
    <w:pPr>
      <w:tabs>
        <w:tab w:val="left" w:pos="1701"/>
      </w:tabs>
      <w:spacing w:before="60" w:after="60"/>
      <w:ind w:left="1701" w:hanging="340"/>
    </w:pPr>
  </w:style>
  <w:style w:type="paragraph" w:styleId="ListBullet3">
    <w:name w:val="List Bullet 3"/>
    <w:basedOn w:val="List3"/>
    <w:rsid w:val="00DA5220"/>
    <w:pPr>
      <w:numPr>
        <w:numId w:val="14"/>
      </w:numPr>
      <w:tabs>
        <w:tab w:val="clear" w:pos="1021"/>
      </w:tabs>
      <w:ind w:left="1037" w:hanging="357"/>
    </w:pPr>
  </w:style>
  <w:style w:type="paragraph" w:styleId="ListBullet4">
    <w:name w:val="List Bullet 4"/>
    <w:basedOn w:val="List4"/>
    <w:rsid w:val="00DA5220"/>
    <w:pPr>
      <w:numPr>
        <w:numId w:val="2"/>
      </w:numPr>
      <w:tabs>
        <w:tab w:val="clear" w:pos="1361"/>
      </w:tabs>
    </w:pPr>
  </w:style>
  <w:style w:type="paragraph" w:styleId="ListBullet5">
    <w:name w:val="List Bullet 5"/>
    <w:basedOn w:val="List5"/>
    <w:rsid w:val="00DA5220"/>
    <w:pPr>
      <w:numPr>
        <w:numId w:val="3"/>
      </w:numPr>
    </w:pPr>
  </w:style>
  <w:style w:type="paragraph" w:styleId="ListContinue2">
    <w:name w:val="List Continue 2"/>
    <w:basedOn w:val="List2"/>
    <w:rsid w:val="00DA5220"/>
    <w:pPr>
      <w:ind w:firstLine="0"/>
    </w:pPr>
  </w:style>
  <w:style w:type="paragraph" w:styleId="ListContinue3">
    <w:name w:val="List Continue 3"/>
    <w:basedOn w:val="List3"/>
    <w:rsid w:val="00DA5220"/>
    <w:pPr>
      <w:ind w:left="1021" w:firstLine="0"/>
    </w:pPr>
  </w:style>
  <w:style w:type="paragraph" w:styleId="ListContinue4">
    <w:name w:val="List Continue 4"/>
    <w:basedOn w:val="List4"/>
    <w:rsid w:val="00DA5220"/>
    <w:pPr>
      <w:ind w:firstLine="0"/>
    </w:pPr>
  </w:style>
  <w:style w:type="paragraph" w:styleId="ListContinue5">
    <w:name w:val="List Continue 5"/>
    <w:basedOn w:val="List5"/>
    <w:rsid w:val="00DA5220"/>
    <w:pPr>
      <w:ind w:firstLine="0"/>
    </w:pPr>
  </w:style>
  <w:style w:type="paragraph" w:styleId="ListNumber3">
    <w:name w:val="List Number 3"/>
    <w:basedOn w:val="List3"/>
    <w:rsid w:val="00DA5220"/>
    <w:pPr>
      <w:numPr>
        <w:numId w:val="4"/>
      </w:numPr>
    </w:pPr>
  </w:style>
  <w:style w:type="paragraph" w:styleId="ListNumber4">
    <w:name w:val="List Number 4"/>
    <w:basedOn w:val="List4"/>
    <w:rsid w:val="00DA5220"/>
    <w:pPr>
      <w:numPr>
        <w:numId w:val="5"/>
      </w:numPr>
    </w:pPr>
  </w:style>
  <w:style w:type="paragraph" w:styleId="ListNumber5">
    <w:name w:val="List Number 5"/>
    <w:basedOn w:val="List5"/>
    <w:rsid w:val="00DA5220"/>
    <w:pPr>
      <w:numPr>
        <w:numId w:val="6"/>
      </w:numPr>
    </w:pPr>
  </w:style>
  <w:style w:type="paragraph" w:styleId="BlockText">
    <w:name w:val="Block Text"/>
    <w:basedOn w:val="Normal"/>
    <w:rsid w:val="00DA5220"/>
    <w:pPr>
      <w:spacing w:after="120"/>
      <w:ind w:left="1440" w:right="1440"/>
    </w:pPr>
  </w:style>
  <w:style w:type="character" w:customStyle="1" w:styleId="Subscript">
    <w:name w:val="Subscript"/>
    <w:basedOn w:val="DefaultParagraphFont"/>
    <w:rsid w:val="00DA5220"/>
    <w:rPr>
      <w:sz w:val="16"/>
      <w:vertAlign w:val="subscript"/>
    </w:rPr>
  </w:style>
  <w:style w:type="character" w:customStyle="1" w:styleId="Superscript">
    <w:name w:val="Superscript"/>
    <w:basedOn w:val="DefaultParagraphFont"/>
    <w:rsid w:val="00DA5220"/>
    <w:rPr>
      <w:sz w:val="16"/>
      <w:vertAlign w:val="superscript"/>
    </w:rPr>
  </w:style>
  <w:style w:type="character" w:customStyle="1" w:styleId="MenuOptions">
    <w:name w:val="Menu Options"/>
    <w:basedOn w:val="DefaultParagraphFont"/>
    <w:rsid w:val="00DA5220"/>
    <w:rPr>
      <w:rFonts w:ascii="Arial Narrow" w:hAnsi="Arial Narrow"/>
      <w:smallCaps/>
    </w:rPr>
  </w:style>
  <w:style w:type="character" w:customStyle="1" w:styleId="Buttons">
    <w:name w:val="Buttons"/>
    <w:basedOn w:val="DefaultParagraphFont"/>
    <w:rsid w:val="00DA5220"/>
    <w:rPr>
      <w:b/>
    </w:rPr>
  </w:style>
  <w:style w:type="character" w:customStyle="1" w:styleId="Underlined">
    <w:name w:val="Underlined"/>
    <w:basedOn w:val="DefaultParagraphFont"/>
    <w:rsid w:val="00DA5220"/>
    <w:rPr>
      <w:u w:val="single"/>
    </w:rPr>
  </w:style>
  <w:style w:type="paragraph" w:customStyle="1" w:styleId="TableBodyTextRight">
    <w:name w:val="Table Body Text Right"/>
    <w:basedOn w:val="TableBodyText"/>
    <w:rsid w:val="00DA5220"/>
    <w:pPr>
      <w:widowControl w:val="0"/>
      <w:autoSpaceDE w:val="0"/>
      <w:autoSpaceDN w:val="0"/>
      <w:adjustRightInd w:val="0"/>
      <w:jc w:val="right"/>
    </w:pPr>
    <w:rPr>
      <w:rFonts w:cs="Arial"/>
      <w:szCs w:val="18"/>
    </w:rPr>
  </w:style>
  <w:style w:type="paragraph" w:customStyle="1" w:styleId="CopyrightText">
    <w:name w:val="Copyright Text"/>
    <w:basedOn w:val="BodyText"/>
    <w:rsid w:val="00DA5220"/>
    <w:rPr>
      <w:sz w:val="18"/>
    </w:rPr>
  </w:style>
  <w:style w:type="paragraph" w:customStyle="1" w:styleId="BodySmallRight">
    <w:name w:val="Body Small Right"/>
    <w:basedOn w:val="BodyTextRight"/>
    <w:rsid w:val="00DA5220"/>
    <w:rPr>
      <w:sz w:val="18"/>
      <w:szCs w:val="18"/>
    </w:rPr>
  </w:style>
  <w:style w:type="paragraph" w:customStyle="1" w:styleId="MarginEdition">
    <w:name w:val="Margin Edition"/>
    <w:basedOn w:val="MarginNote"/>
    <w:rsid w:val="00DA5220"/>
    <w:pPr>
      <w:spacing w:before="0" w:after="0"/>
    </w:pPr>
    <w:rPr>
      <w:rFonts w:ascii="Times New Roman" w:hAnsi="Times New Roman"/>
      <w:color w:val="999999"/>
    </w:rPr>
  </w:style>
  <w:style w:type="paragraph" w:customStyle="1" w:styleId="Spacer">
    <w:name w:val="Spacer"/>
    <w:basedOn w:val="Normal"/>
    <w:rsid w:val="00DA5220"/>
    <w:rPr>
      <w:sz w:val="2"/>
      <w:szCs w:val="2"/>
    </w:rPr>
  </w:style>
  <w:style w:type="character" w:customStyle="1" w:styleId="Small">
    <w:name w:val="Small"/>
    <w:basedOn w:val="DefaultParagraphFont"/>
    <w:rsid w:val="00DA5220"/>
    <w:rPr>
      <w:sz w:val="16"/>
    </w:rPr>
  </w:style>
  <w:style w:type="paragraph" w:customStyle="1" w:styleId="WideTable">
    <w:name w:val="Wide Table"/>
    <w:basedOn w:val="Normal"/>
    <w:rsid w:val="00DA5220"/>
    <w:pPr>
      <w:ind w:left="-1418"/>
    </w:pPr>
    <w:rPr>
      <w:sz w:val="2"/>
      <w:szCs w:val="2"/>
    </w:rPr>
  </w:style>
  <w:style w:type="character" w:styleId="PageNumber">
    <w:name w:val="page number"/>
    <w:basedOn w:val="DefaultParagraphFont"/>
    <w:rsid w:val="00DA5220"/>
  </w:style>
  <w:style w:type="paragraph" w:styleId="Quote">
    <w:name w:val="Quote"/>
    <w:basedOn w:val="Heading1"/>
    <w:link w:val="QuoteChar"/>
    <w:qFormat/>
    <w:rsid w:val="00DA5220"/>
    <w:rPr>
      <w:b w:val="0"/>
      <w:sz w:val="72"/>
      <w:szCs w:val="72"/>
      <w:lang w:val="en-NZ"/>
    </w:rPr>
  </w:style>
  <w:style w:type="character" w:customStyle="1" w:styleId="QuoteChar">
    <w:name w:val="Quote Char"/>
    <w:basedOn w:val="DefaultParagraphFont"/>
    <w:link w:val="Quote"/>
    <w:rsid w:val="00DA52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5220"/>
    <w:pPr>
      <w:pageBreakBefore/>
    </w:pPr>
  </w:style>
  <w:style w:type="paragraph" w:customStyle="1" w:styleId="Border">
    <w:name w:val="Border"/>
    <w:basedOn w:val="Normal"/>
    <w:qFormat/>
    <w:rsid w:val="00DA52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5220"/>
    <w:rPr>
      <w:b/>
      <w:bCs/>
      <w:i/>
      <w:iCs/>
      <w:color w:val="auto"/>
    </w:rPr>
  </w:style>
  <w:style w:type="paragraph" w:styleId="IntenseQuote">
    <w:name w:val="Intense Quote"/>
    <w:basedOn w:val="Normal"/>
    <w:next w:val="Normal"/>
    <w:link w:val="IntenseQuoteChar"/>
    <w:uiPriority w:val="30"/>
    <w:qFormat/>
    <w:rsid w:val="00DA52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52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5220"/>
    <w:rPr>
      <w:smallCaps/>
      <w:color w:val="auto"/>
      <w:u w:val="single"/>
    </w:rPr>
  </w:style>
  <w:style w:type="character" w:styleId="IntenseReference">
    <w:name w:val="Intense Reference"/>
    <w:basedOn w:val="DefaultParagraphFont"/>
    <w:uiPriority w:val="32"/>
    <w:qFormat/>
    <w:rsid w:val="00DA5220"/>
    <w:rPr>
      <w:b/>
      <w:bCs/>
      <w:smallCaps/>
      <w:color w:val="auto"/>
      <w:spacing w:val="5"/>
      <w:u w:val="single"/>
    </w:rPr>
  </w:style>
  <w:style w:type="paragraph" w:customStyle="1" w:styleId="2ColumnHeading">
    <w:name w:val="2Column Heading"/>
    <w:basedOn w:val="BodyText"/>
    <w:qFormat/>
    <w:rsid w:val="00DA5220"/>
    <w:pPr>
      <w:spacing w:after="60"/>
      <w:ind w:left="-2268"/>
    </w:pPr>
    <w:rPr>
      <w:b/>
    </w:rPr>
  </w:style>
  <w:style w:type="paragraph" w:customStyle="1" w:styleId="Heading1TOC">
    <w:name w:val="Heading1 TOC"/>
    <w:basedOn w:val="Normal"/>
    <w:qFormat/>
    <w:rsid w:val="00DA5220"/>
    <w:pPr>
      <w:spacing w:before="240" w:after="120"/>
    </w:pPr>
    <w:rPr>
      <w:rFonts w:ascii="Times New Roman" w:hAnsi="Times New Roman"/>
      <w:b/>
      <w:sz w:val="32"/>
    </w:rPr>
  </w:style>
  <w:style w:type="paragraph" w:customStyle="1" w:styleId="Heading2TOC">
    <w:name w:val="Heading2 TOC"/>
    <w:basedOn w:val="Normal"/>
    <w:qFormat/>
    <w:rsid w:val="00DA5220"/>
    <w:pPr>
      <w:spacing w:before="240" w:after="60"/>
    </w:pPr>
    <w:rPr>
      <w:rFonts w:ascii="Times New Roman" w:hAnsi="Times New Roman"/>
      <w:b/>
      <w:sz w:val="28"/>
    </w:rPr>
  </w:style>
  <w:style w:type="character" w:customStyle="1" w:styleId="Underline">
    <w:name w:val="Underline"/>
    <w:basedOn w:val="DefaultParagraphFont"/>
    <w:qFormat/>
    <w:rsid w:val="00DA5220"/>
    <w:rPr>
      <w:u w:val="single"/>
    </w:rPr>
  </w:style>
  <w:style w:type="character" w:customStyle="1" w:styleId="BoldandItalics">
    <w:name w:val="Bold and Italics"/>
    <w:qFormat/>
    <w:rsid w:val="00DA5220"/>
    <w:rPr>
      <w:b/>
      <w:i/>
      <w:u w:val="none"/>
    </w:rPr>
  </w:style>
  <w:style w:type="paragraph" w:styleId="BalloonText">
    <w:name w:val="Balloon Text"/>
    <w:basedOn w:val="Normal"/>
    <w:link w:val="BalloonTextChar"/>
    <w:rsid w:val="00DA5220"/>
    <w:rPr>
      <w:rFonts w:ascii="Tahoma" w:hAnsi="Tahoma" w:cs="Tahoma"/>
      <w:sz w:val="16"/>
      <w:szCs w:val="16"/>
    </w:rPr>
  </w:style>
  <w:style w:type="character" w:customStyle="1" w:styleId="BalloonTextChar">
    <w:name w:val="Balloon Text Char"/>
    <w:basedOn w:val="DefaultParagraphFont"/>
    <w:link w:val="BalloonText"/>
    <w:rsid w:val="00DA52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52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52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5220"/>
    <w:rPr>
      <w:b/>
      <w:color w:val="660033"/>
      <w:spacing w:val="0"/>
    </w:rPr>
  </w:style>
  <w:style w:type="paragraph" w:customStyle="1" w:styleId="Nameditemlist">
    <w:name w:val="Named item list"/>
    <w:basedOn w:val="BodyText"/>
    <w:qFormat/>
    <w:rsid w:val="00DA522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1463</Words>
  <Characters>9644</Characters>
  <Application>Microsoft Office Word</Application>
  <DocSecurity>0</DocSecurity>
  <Lines>332</Lines>
  <Paragraphs>142</Paragraphs>
  <ScaleCrop>false</ScaleCrop>
  <Company>Author-it Software Corporation Ltd.</Company>
  <LinksUpToDate>false</LinksUpToDate>
  <CharactersWithSpaces>11006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MSL975025 Perform complex laboratory testing of forensic samples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2016-03-01T06:16:00Z</dcterms:created>
  <dcterms:modified xsi:type="dcterms:W3CDTF">2016-03-01T06:17:00Z</dcterms:modified>
</cp:coreProperties>
</file>