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AB1" w:rsidP="000C2AB1">
      <w:pPr>
        <w:pStyle w:val="Title"/>
      </w:pPr>
      <w:r>
        <w:fldChar w:fldCharType="begin"/>
      </w:r>
      <w:r>
        <w:instrText xml:space="preserve"> TITLE   \* MERGEFORMAT </w:instrText>
      </w:r>
      <w:r>
        <w:fldChar w:fldCharType="separate"/>
      </w:r>
      <w:r>
        <w:t>MSL975024 Locate, record and collect forensic samples</w:t>
      </w:r>
      <w:r>
        <w:fldChar w:fldCharType="end"/>
      </w:r>
    </w:p>
    <w:p w:rsidR="000C2AB1" w:rsidP="000C2AB1">
      <w:pPr>
        <w:pStyle w:val="Version"/>
        <w:sectPr w:rsidSect="000D47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76A" w:rsidP="000D476A">
      <w:pPr>
        <w:pStyle w:val="SuperHeading"/>
      </w:pPr>
      <w:r w:rsidRPr="000D476A">
        <w:t>MSL975024 Locate, record and collect forensic samples</w:t>
      </w:r>
    </w:p>
    <w:p w:rsidR="00000000" w:rsidRPr="000D476A" w:rsidP="000D476A">
      <w:pPr>
        <w:pStyle w:val="Heading1"/>
      </w:pPr>
      <w:bookmarkStart w:id="1" w:name="O_901971"/>
      <w:bookmarkEnd w:id="1"/>
      <w:r w:rsidRPr="000D476A">
        <w:t>Modification History</w:t>
      </w:r>
    </w:p>
    <w:p w:rsidR="00000000" w:rsidRPr="000D476A" w:rsidP="000D476A">
      <w:pPr>
        <w:pStyle w:val="BodyText"/>
      </w:pPr>
      <w:r w:rsidRPr="000D476A">
        <w:t>Release 1. Supersedes and is equivalent to MSL975024A Locate record and collect forensic samples</w:t>
      </w:r>
    </w:p>
    <w:p w:rsidR="00000000" w:rsidRPr="000D476A" w:rsidP="000D476A">
      <w:pPr>
        <w:pStyle w:val="AllowPageBreak"/>
      </w:pPr>
    </w:p>
    <w:p w:rsidR="00000000" w:rsidRPr="000D476A" w:rsidP="000D476A">
      <w:pPr>
        <w:pStyle w:val="Heading1"/>
      </w:pPr>
      <w:bookmarkStart w:id="2" w:name="O_901979"/>
      <w:bookmarkEnd w:id="2"/>
      <w:r w:rsidRPr="000D476A">
        <w:t>Application</w:t>
      </w:r>
    </w:p>
    <w:p w:rsidR="00000000" w:rsidRPr="000D476A" w:rsidP="000D476A">
      <w:pPr>
        <w:pStyle w:val="BodyText"/>
      </w:pPr>
      <w:r w:rsidRPr="000D476A">
        <w:t xml:space="preserve">This unit of competency covers the ability to locate, record and collect evidence or samples </w:t>
      </w:r>
      <w:r w:rsidRPr="000D476A">
        <w:t>that will be used for forensic examination or testing. Competency includes the ability to locate, collect, package, transport and store forensic samples.</w:t>
      </w:r>
    </w:p>
    <w:p w:rsidR="00000000" w:rsidRPr="000D476A" w:rsidP="000D476A">
      <w:pPr>
        <w:pStyle w:val="BodyText"/>
      </w:pPr>
    </w:p>
    <w:p w:rsidR="00000000" w:rsidRPr="000D476A" w:rsidP="000D476A">
      <w:pPr>
        <w:pStyle w:val="BodyText"/>
      </w:pPr>
      <w:r w:rsidRPr="000D476A">
        <w:t>This unit of competency is applicable to technical officers working in all industry sectors and gover</w:t>
      </w:r>
      <w:r w:rsidRPr="000D476A">
        <w:t>nment agencies, such as food, forensic, medical and environmental laboratories. The term forensic is used to describe the collection of samples that may have legal implications, such as those collected to verify insurance claims or prove paternity for paym</w:t>
      </w:r>
      <w:r w:rsidRPr="000D476A">
        <w:t>ent of maintenance.</w:t>
      </w:r>
    </w:p>
    <w:p w:rsidR="00000000" w:rsidRPr="000D476A" w:rsidP="000D476A">
      <w:pPr>
        <w:pStyle w:val="BodyText"/>
      </w:pPr>
    </w:p>
    <w:p w:rsidR="00000000" w:rsidRPr="000D476A" w:rsidP="000D476A">
      <w:pPr>
        <w:pStyle w:val="BodyText"/>
      </w:pPr>
      <w:r w:rsidRPr="000D476A">
        <w:t>All operations must comply with relevant standards, appropriate procedures and/or workplace requirements. Although a supervisor may not always be present, the technical officer will follow standard operating procedures (SOPs) that clea</w:t>
      </w:r>
      <w:r w:rsidRPr="000D476A">
        <w:t>rly describe the scope of permitted practice, including varying workplace/test procedures and communicating results to people outside the laboratory.</w:t>
      </w:r>
    </w:p>
    <w:p w:rsidR="00000000" w:rsidRPr="000D476A" w:rsidP="000D476A">
      <w:pPr>
        <w:pStyle w:val="BodyText"/>
      </w:pPr>
    </w:p>
    <w:p w:rsidR="00000000" w:rsidRPr="000D476A" w:rsidP="000D476A">
      <w:pPr>
        <w:pStyle w:val="BodyText"/>
      </w:pPr>
      <w:r w:rsidRPr="000D476A">
        <w:t xml:space="preserve">While no specific licensing or certification requirements apply to this unit at the time of publication, </w:t>
      </w:r>
      <w:r w:rsidRPr="000D476A">
        <w:t>laboratory operations are governed by relevant legislation, regulations and/or external accreditation requirements. Local requirements should be checked.</w:t>
      </w:r>
    </w:p>
    <w:p w:rsidR="00000000" w:rsidRPr="000D476A" w:rsidP="000D476A">
      <w:pPr>
        <w:pStyle w:val="AllowPageBreak"/>
      </w:pPr>
    </w:p>
    <w:p w:rsidR="00000000" w:rsidRPr="000D476A" w:rsidP="000D476A">
      <w:pPr>
        <w:pStyle w:val="Heading1"/>
      </w:pPr>
      <w:bookmarkStart w:id="3" w:name="O_901978"/>
      <w:bookmarkEnd w:id="3"/>
      <w:r w:rsidRPr="000D476A">
        <w:t>Pre-requisite Unit</w:t>
      </w:r>
    </w:p>
    <w:p w:rsidR="00000000" w:rsidRPr="000D476A" w:rsidP="000D476A">
      <w:pPr>
        <w:pStyle w:val="BodyText"/>
      </w:pPr>
      <w:r w:rsidRPr="000D476A">
        <w:t>Nil</w:t>
      </w:r>
    </w:p>
    <w:p w:rsidR="00000000" w:rsidRPr="000D476A" w:rsidP="000D476A">
      <w:pPr>
        <w:pStyle w:val="AllowPageBreak"/>
      </w:pPr>
    </w:p>
    <w:p w:rsidR="00000000" w:rsidRPr="000D476A" w:rsidP="000D476A">
      <w:pPr>
        <w:pStyle w:val="Heading1"/>
      </w:pPr>
      <w:bookmarkStart w:id="4" w:name="O_901977"/>
      <w:bookmarkEnd w:id="4"/>
      <w:r w:rsidRPr="000D476A">
        <w:t>Competency Field</w:t>
      </w:r>
    </w:p>
    <w:p w:rsidR="00000000" w:rsidRPr="000D476A" w:rsidP="000D476A">
      <w:pPr>
        <w:pStyle w:val="BodyText"/>
      </w:pPr>
      <w:r w:rsidRPr="000D476A">
        <w:t>Testing</w:t>
      </w:r>
    </w:p>
    <w:p w:rsidR="00000000" w:rsidRPr="000D476A" w:rsidP="000D476A">
      <w:pPr>
        <w:pStyle w:val="AllowPageBreak"/>
      </w:pPr>
    </w:p>
    <w:p w:rsidR="00000000" w:rsidRPr="000D476A" w:rsidP="000D476A">
      <w:pPr>
        <w:pStyle w:val="Heading1"/>
      </w:pPr>
      <w:bookmarkStart w:id="5" w:name="O_901976"/>
      <w:bookmarkEnd w:id="5"/>
      <w:r w:rsidRPr="000D476A">
        <w:t>Uni</w:t>
      </w:r>
      <w:r w:rsidRPr="000D476A">
        <w:t>t Sector</w:t>
      </w:r>
    </w:p>
    <w:p w:rsidR="00000000" w:rsidRPr="000D476A" w:rsidP="000D476A">
      <w:pPr>
        <w:pStyle w:val="Heading1"/>
      </w:pPr>
      <w:bookmarkStart w:id="6" w:name="O_901975"/>
      <w:bookmarkEnd w:id="6"/>
      <w:r w:rsidRPr="000D476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D476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Performance criteria describe the performance needed to demonstrate achievement of the element.</w:t>
            </w:r>
          </w:p>
        </w:tc>
      </w:tr>
      <w:tr w:rsidTr="000D4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D476A" w:rsidP="000D476A">
            <w:pPr>
              <w:pStyle w:val="BodyText"/>
            </w:pPr>
            <w:r w:rsidRPr="000D476A">
              <w:t>1</w:t>
            </w:r>
          </w:p>
        </w:tc>
        <w:tc>
          <w:tcPr>
            <w:tcW w:w="1962" w:type="dxa"/>
            <w:vMerge w:val="restart"/>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rPr>
                <w:rStyle w:val="SpecialBold"/>
              </w:rPr>
              <w:t>Prepare for evidence/sample collection</w:t>
            </w:r>
          </w:p>
        </w:tc>
        <w:tc>
          <w:tcPr>
            <w:tcW w:w="77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1.1</w:t>
            </w:r>
          </w:p>
        </w:tc>
        <w:tc>
          <w:tcPr>
            <w:tcW w:w="561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Locate evidence/sample using observation and appropriate detection methods</w:t>
            </w:r>
          </w:p>
        </w:tc>
      </w:tr>
      <w:tr w:rsidTr="000D4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1.2</w:t>
            </w:r>
          </w:p>
        </w:tc>
        <w:tc>
          <w:tcPr>
            <w:tcW w:w="561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Identify appropriate sample collection methods</w:t>
            </w:r>
          </w:p>
        </w:tc>
      </w:tr>
      <w:tr w:rsidTr="000D4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1.3</w:t>
            </w:r>
          </w:p>
        </w:tc>
        <w:tc>
          <w:tcPr>
            <w:tcW w:w="561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Prioritise the evaluation of items of evidence to ensure maintenance of sample integrity</w:t>
            </w:r>
          </w:p>
        </w:tc>
      </w:tr>
      <w:tr w:rsidTr="000D47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D476A">
            <w:pPr>
              <w:pStyle w:val="BodyText"/>
              <w:rPr>
                <w:lang w:val="en-NZ"/>
              </w:rPr>
            </w:pPr>
          </w:p>
        </w:tc>
      </w:tr>
      <w:tr w:rsidTr="000D4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D476A" w:rsidP="000D476A">
            <w:pPr>
              <w:pStyle w:val="BodyText"/>
            </w:pPr>
            <w:r w:rsidRPr="000D476A">
              <w:t>2</w:t>
            </w:r>
          </w:p>
        </w:tc>
        <w:tc>
          <w:tcPr>
            <w:tcW w:w="1962" w:type="dxa"/>
            <w:vMerge w:val="restart"/>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rPr>
                <w:rStyle w:val="SpecialBold"/>
              </w:rPr>
              <w:t>Record locations and details of evidence/samples</w:t>
            </w:r>
          </w:p>
        </w:tc>
        <w:tc>
          <w:tcPr>
            <w:tcW w:w="77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2.1</w:t>
            </w:r>
          </w:p>
        </w:tc>
        <w:tc>
          <w:tcPr>
            <w:tcW w:w="561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Identify appropriate methods to record the evidence/samples in accordance with quality systems and within resource constraints</w:t>
            </w:r>
          </w:p>
        </w:tc>
      </w:tr>
      <w:tr w:rsidTr="000D4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2.2</w:t>
            </w:r>
          </w:p>
        </w:tc>
        <w:tc>
          <w:tcPr>
            <w:tcW w:w="561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Record position of located evidence using a variety of appropriate techniques</w:t>
            </w:r>
          </w:p>
        </w:tc>
      </w:tr>
      <w:tr w:rsidTr="000D4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2.3</w:t>
            </w:r>
          </w:p>
        </w:tc>
        <w:tc>
          <w:tcPr>
            <w:tcW w:w="561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Produce documented records of evidential material according to judicial and/or workplace guidelines</w:t>
            </w:r>
          </w:p>
        </w:tc>
      </w:tr>
      <w:tr w:rsidTr="000D47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D476A">
            <w:pPr>
              <w:pStyle w:val="BodyText"/>
              <w:rPr>
                <w:lang w:val="en-NZ"/>
              </w:rPr>
            </w:pPr>
          </w:p>
        </w:tc>
      </w:tr>
      <w:tr w:rsidTr="000D4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D476A" w:rsidP="000D476A">
            <w:pPr>
              <w:pStyle w:val="BodyText"/>
            </w:pPr>
            <w:r w:rsidRPr="000D476A">
              <w:t>3</w:t>
            </w:r>
          </w:p>
        </w:tc>
        <w:tc>
          <w:tcPr>
            <w:tcW w:w="1962" w:type="dxa"/>
            <w:vMerge w:val="restart"/>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rPr>
                <w:rStyle w:val="SpecialBold"/>
              </w:rPr>
              <w:t>Collect evidence/samples</w:t>
            </w:r>
          </w:p>
        </w:tc>
        <w:tc>
          <w:tcPr>
            <w:tcW w:w="77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3.1</w:t>
            </w:r>
          </w:p>
        </w:tc>
        <w:tc>
          <w:tcPr>
            <w:tcW w:w="561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Collect sufficient number and quantity of evidence/samples (where possible) to allow complete examination or analysis and to represent the mass of the physical evidence</w:t>
            </w:r>
          </w:p>
        </w:tc>
      </w:tr>
      <w:tr w:rsidTr="000D4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3.2</w:t>
            </w:r>
          </w:p>
        </w:tc>
        <w:tc>
          <w:tcPr>
            <w:tcW w:w="561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Collect controls and reference samples where possible and appropriate</w:t>
            </w:r>
          </w:p>
        </w:tc>
      </w:tr>
      <w:tr w:rsidTr="000D4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3.3</w:t>
            </w:r>
          </w:p>
        </w:tc>
        <w:tc>
          <w:tcPr>
            <w:tcW w:w="561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Collect latent evidence using physical or chemical methods</w:t>
            </w:r>
          </w:p>
        </w:tc>
      </w:tr>
      <w:tr w:rsidTr="000D47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D476A">
            <w:pPr>
              <w:pStyle w:val="BodyText"/>
              <w:rPr>
                <w:lang w:val="en-NZ"/>
              </w:rPr>
            </w:pPr>
          </w:p>
        </w:tc>
      </w:tr>
      <w:tr w:rsidTr="000D4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D476A" w:rsidP="000D476A">
            <w:pPr>
              <w:pStyle w:val="BodyText"/>
            </w:pPr>
            <w:r w:rsidRPr="000D476A">
              <w:t>4</w:t>
            </w:r>
          </w:p>
        </w:tc>
        <w:tc>
          <w:tcPr>
            <w:tcW w:w="1962" w:type="dxa"/>
            <w:vMerge w:val="restart"/>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rPr>
                <w:rStyle w:val="SpecialBold"/>
              </w:rPr>
              <w:t>Package evidence/samples</w:t>
            </w:r>
          </w:p>
        </w:tc>
        <w:tc>
          <w:tcPr>
            <w:tcW w:w="77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4.1</w:t>
            </w:r>
          </w:p>
        </w:tc>
        <w:tc>
          <w:tcPr>
            <w:tcW w:w="561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Package, transport and store evidence/samples to ensure continuity and maintain integrity of forensic samples</w:t>
            </w:r>
          </w:p>
        </w:tc>
      </w:tr>
      <w:tr w:rsidTr="000D4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4.2</w:t>
            </w:r>
          </w:p>
        </w:tc>
        <w:tc>
          <w:tcPr>
            <w:tcW w:w="561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Collect and document details of evidential material in case notes and/or in the evidence register to maintain chain of custody</w:t>
            </w:r>
          </w:p>
        </w:tc>
      </w:tr>
      <w:tr w:rsidTr="000D47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D476A">
            <w:pPr>
              <w:pStyle w:val="BodyText"/>
              <w:rPr>
                <w:lang w:val="en-NZ"/>
              </w:rPr>
            </w:pPr>
          </w:p>
        </w:tc>
      </w:tr>
      <w:tr w:rsidTr="000D4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D476A" w:rsidP="000D476A">
            <w:pPr>
              <w:pStyle w:val="BodyText"/>
            </w:pPr>
            <w:r w:rsidRPr="000D476A">
              <w:t>5</w:t>
            </w:r>
          </w:p>
        </w:tc>
        <w:tc>
          <w:tcPr>
            <w:tcW w:w="1962" w:type="dxa"/>
            <w:vMerge w:val="restart"/>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5.1</w:t>
            </w:r>
          </w:p>
        </w:tc>
        <w:tc>
          <w:tcPr>
            <w:tcW w:w="561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 xml:space="preserve">Identify risks, hazards, safety equipment and procedures associated with evidence/sample collection </w:t>
            </w:r>
          </w:p>
        </w:tc>
      </w:tr>
      <w:tr w:rsidTr="000D4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5.2</w:t>
            </w:r>
          </w:p>
        </w:tc>
        <w:tc>
          <w:tcPr>
            <w:tcW w:w="561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Use personal protective equipment (PPE) and safety procedures specified</w:t>
            </w:r>
          </w:p>
        </w:tc>
      </w:tr>
      <w:tr w:rsidTr="000D4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5.3</w:t>
            </w:r>
          </w:p>
        </w:tc>
        <w:tc>
          <w:tcPr>
            <w:tcW w:w="561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Minimise the generation of waste and environmental impacts</w:t>
            </w:r>
          </w:p>
        </w:tc>
      </w:tr>
      <w:tr w:rsidTr="000D4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5.4</w:t>
            </w:r>
          </w:p>
        </w:tc>
        <w:tc>
          <w:tcPr>
            <w:tcW w:w="561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Ensure the safe disposal of waste</w:t>
            </w:r>
          </w:p>
        </w:tc>
      </w:tr>
      <w:tr w:rsidTr="000D4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5.5</w:t>
            </w:r>
          </w:p>
        </w:tc>
        <w:tc>
          <w:tcPr>
            <w:tcW w:w="5610" w:type="dxa"/>
            <w:tcBorders>
              <w:top w:val="nil"/>
              <w:left w:val="nil"/>
              <w:bottom w:val="nil"/>
              <w:right w:val="nil"/>
            </w:tcBorders>
            <w:tcMar>
              <w:top w:w="0" w:type="dxa"/>
              <w:left w:w="62" w:type="dxa"/>
              <w:bottom w:w="0" w:type="dxa"/>
              <w:right w:w="62" w:type="dxa"/>
            </w:tcMar>
          </w:tcPr>
          <w:p w:rsidR="00000000" w:rsidRPr="000D476A" w:rsidP="000D476A">
            <w:pPr>
              <w:pStyle w:val="BodyText"/>
            </w:pPr>
            <w:r w:rsidRPr="000D476A">
              <w:t>Clean, care for and store equipment and consumables in accordance with workplace procedures</w:t>
            </w:r>
          </w:p>
        </w:tc>
      </w:tr>
    </w:tbl>
    <w:p w:rsidR="00000000" w:rsidRPr="000D476A" w:rsidP="000D476A">
      <w:pPr>
        <w:pStyle w:val="BodyText"/>
      </w:pPr>
    </w:p>
    <w:p w:rsidR="00000000" w:rsidRPr="000D476A" w:rsidP="000D476A">
      <w:pPr>
        <w:pStyle w:val="AllowPageBreak"/>
      </w:pPr>
    </w:p>
    <w:p w:rsidR="00000000" w:rsidRPr="000D476A" w:rsidP="000D476A">
      <w:pPr>
        <w:pStyle w:val="Heading1"/>
      </w:pPr>
      <w:bookmarkStart w:id="7" w:name="O_901974"/>
      <w:bookmarkEnd w:id="7"/>
      <w:r w:rsidRPr="000D476A">
        <w:t>Foundation Skills</w:t>
      </w:r>
    </w:p>
    <w:p w:rsidR="00000000" w:rsidRPr="000D476A" w:rsidP="000D476A">
      <w:pPr>
        <w:pStyle w:val="BodyText"/>
      </w:pPr>
      <w:r w:rsidRPr="000D476A">
        <w:t>This section describes those language, literacy, numeracy and employment skills that a</w:t>
      </w:r>
      <w:r w:rsidRPr="000D476A">
        <w:t>re essential to performance.</w:t>
      </w:r>
    </w:p>
    <w:p w:rsidR="00000000" w:rsidRPr="000D476A" w:rsidP="000D476A">
      <w:pPr>
        <w:pStyle w:val="BodyText"/>
      </w:pPr>
    </w:p>
    <w:p w:rsidR="00000000" w:rsidRPr="000D476A" w:rsidP="000D476A">
      <w:pPr>
        <w:pStyle w:val="BodyText"/>
      </w:pPr>
      <w:r w:rsidRPr="000D476A">
        <w:t>Foundation skills essential to performance are explicit in the performance criteria of this unit of competency.</w:t>
      </w:r>
    </w:p>
    <w:p w:rsidR="00000000" w:rsidRPr="000D476A" w:rsidP="000D476A">
      <w:pPr>
        <w:pStyle w:val="AllowPageBreak"/>
      </w:pPr>
    </w:p>
    <w:p w:rsidR="00000000" w:rsidRPr="000D476A" w:rsidP="000D476A">
      <w:pPr>
        <w:pStyle w:val="Heading1"/>
      </w:pPr>
      <w:bookmarkStart w:id="8" w:name="O_901973"/>
      <w:bookmarkEnd w:id="8"/>
      <w:r w:rsidRPr="000D476A">
        <w:t>Range of Conditions</w:t>
      </w:r>
    </w:p>
    <w:tbl>
      <w:tblPr>
        <w:tblW w:w="0" w:type="auto"/>
        <w:tblCellMar>
          <w:left w:w="62" w:type="dxa"/>
          <w:right w:w="62" w:type="dxa"/>
        </w:tblCellMar>
        <w:tblLook w:val="0000"/>
      </w:tblPr>
      <w:tblGrid>
        <w:gridCol w:w="2163"/>
        <w:gridCol w:w="7033"/>
      </w:tblGrid>
      <w:tr w:rsidTr="000C2A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t xml:space="preserve">This field allows for different </w:t>
            </w:r>
            <w:r w:rsidRPr="000D476A">
              <w:t>work environments and conditions that may affect performance. Essential operating conditions that may be present (depending on the work situation, needs of the candidate, accessibility of the item, and local industry and regional contexts) are included.</w:t>
            </w:r>
          </w:p>
        </w:tc>
      </w:tr>
      <w:tr w:rsidTr="000C2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0D476A" w:rsidP="000D476A">
            <w:pPr>
              <w:pStyle w:val="BodyText"/>
            </w:pPr>
            <w:r w:rsidRPr="000D476A">
              <w:t>Standards, codes, procedures and/or workplace requirements include the latest version of one or more of:</w:t>
            </w:r>
          </w:p>
          <w:p w:rsidR="00000000" w:rsidRPr="000D476A" w:rsidP="000D476A">
            <w:pPr>
              <w:pStyle w:val="ListBullet"/>
            </w:pPr>
            <w:r w:rsidRPr="000D476A">
              <w:t>Australian and international standards covering the requirements for the competence of tes</w:t>
            </w:r>
            <w:r w:rsidRPr="000D476A">
              <w:t>ting and calibration laboratories; laboratory safety; quality and environmental management; sampling of materials; and labelling, storage, handling and transport of hazardous materials</w:t>
            </w:r>
          </w:p>
          <w:p w:rsidR="00000000" w:rsidRPr="000D476A" w:rsidP="000D476A">
            <w:pPr>
              <w:pStyle w:val="ListBullet"/>
            </w:pPr>
            <w:r w:rsidRPr="000D476A">
              <w:t xml:space="preserve">national work health and safety (WHS) standards and codes of practice, </w:t>
            </w:r>
            <w:r w:rsidRPr="000D476A">
              <w:t>national environmental protection measures, and national measurement regulations and guidelines</w:t>
            </w:r>
          </w:p>
          <w:p w:rsidR="00000000" w:rsidRPr="000D476A" w:rsidP="000D476A">
            <w:pPr>
              <w:pStyle w:val="ListBullet"/>
            </w:pPr>
            <w:r w:rsidRPr="000D476A">
              <w:t xml:space="preserve">specific codes, guidelines and procedures, such as National Association of Testing Authorities (NATA) accreditation requirements, principles of good laboratory </w:t>
            </w:r>
            <w:r w:rsidRPr="000D476A">
              <w:t>practice (GLP), Australian Dangerous Goods Code, Australia Post Guides, and International Air Transport Association (IATA) regulations</w:t>
            </w:r>
          </w:p>
          <w:p w:rsidR="00000000" w:rsidRPr="000D476A" w:rsidP="000D476A">
            <w:pPr>
              <w:pStyle w:val="ListBullet"/>
            </w:pPr>
            <w:r w:rsidRPr="000D476A">
              <w:t>workplace documents, such as judicial protocols, SOPs, quality manuals, equipment and procedures manuals, material safety</w:t>
            </w:r>
            <w:r w:rsidRPr="000D476A">
              <w:t xml:space="preserve"> data sheets (MSDS) and safety procedures, workplace recording and reporting procedures, maps and site plans</w:t>
            </w:r>
          </w:p>
          <w:p w:rsidR="00000000" w:rsidP="000D476A">
            <w:pPr>
              <w:pStyle w:val="BodyText"/>
              <w:rPr>
                <w:lang w:val="en-NZ"/>
              </w:rPr>
            </w:pPr>
          </w:p>
        </w:tc>
      </w:tr>
      <w:tr w:rsidTr="000C2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rPr>
                <w:rStyle w:val="SpecialBold"/>
              </w:rPr>
              <w:t xml:space="preserve">Location of evidence/samples </w:t>
            </w:r>
          </w:p>
        </w:tc>
        <w:tc>
          <w:tcPr>
            <w:tcW w:w="0" w:type="auto"/>
            <w:tcBorders>
              <w:top w:val="nil"/>
              <w:left w:val="nil"/>
              <w:bottom w:val="nil"/>
              <w:right w:val="nil"/>
            </w:tcBorders>
            <w:tcMar>
              <w:top w:w="0" w:type="dxa"/>
              <w:left w:w="62" w:type="dxa"/>
              <w:bottom w:w="0" w:type="dxa"/>
              <w:right w:w="62" w:type="dxa"/>
            </w:tcMar>
          </w:tcPr>
          <w:p w:rsidR="00000000" w:rsidRPr="000D476A" w:rsidP="000D476A">
            <w:pPr>
              <w:pStyle w:val="BodyText"/>
            </w:pPr>
            <w:r w:rsidRPr="000D476A">
              <w:t>Evidence and sample locations include, but are not limited to, one or more of:</w:t>
            </w:r>
          </w:p>
          <w:p w:rsidR="00000000" w:rsidRPr="000D476A" w:rsidP="000D476A">
            <w:pPr>
              <w:pStyle w:val="ListBullet"/>
            </w:pPr>
            <w:r w:rsidRPr="000D476A">
              <w:t>industrial accidents, fire and explosion, and disasters</w:t>
            </w:r>
          </w:p>
          <w:p w:rsidR="00000000" w:rsidRPr="000D476A" w:rsidP="000D476A">
            <w:pPr>
              <w:pStyle w:val="ListBullet"/>
            </w:pPr>
            <w:r w:rsidRPr="000D476A">
              <w:t>criminal investigations</w:t>
            </w:r>
          </w:p>
          <w:p w:rsidR="00000000" w:rsidRPr="000D476A" w:rsidP="000D476A">
            <w:pPr>
              <w:pStyle w:val="ListBullet"/>
            </w:pPr>
            <w:r w:rsidRPr="000D476A">
              <w:t>searches and evidence collection</w:t>
            </w:r>
          </w:p>
          <w:p w:rsidR="00000000" w:rsidRPr="000D476A" w:rsidP="000D476A">
            <w:pPr>
              <w:pStyle w:val="ListBullet"/>
            </w:pPr>
            <w:r w:rsidRPr="000D476A">
              <w:t>contaminated sites</w:t>
            </w:r>
          </w:p>
          <w:p w:rsidR="00000000" w:rsidRPr="000D476A" w:rsidP="000D476A">
            <w:pPr>
              <w:pStyle w:val="ListBullet"/>
            </w:pPr>
            <w:r w:rsidRPr="000D476A">
              <w:t>vehicle collisions and motor vehicles</w:t>
            </w:r>
          </w:p>
          <w:p w:rsidR="00000000" w:rsidP="000D476A">
            <w:pPr>
              <w:pStyle w:val="BodyText"/>
              <w:rPr>
                <w:lang w:val="en-NZ"/>
              </w:rPr>
            </w:pPr>
          </w:p>
        </w:tc>
      </w:tr>
      <w:tr w:rsidTr="000C2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rPr>
                <w:rStyle w:val="SpecialBold"/>
              </w:rPr>
              <w:t>Sample collection methods</w:t>
            </w:r>
          </w:p>
        </w:tc>
        <w:tc>
          <w:tcPr>
            <w:tcW w:w="0" w:type="auto"/>
            <w:tcBorders>
              <w:top w:val="nil"/>
              <w:left w:val="nil"/>
              <w:bottom w:val="nil"/>
              <w:right w:val="nil"/>
            </w:tcBorders>
            <w:tcMar>
              <w:top w:w="0" w:type="dxa"/>
              <w:left w:w="62" w:type="dxa"/>
              <w:bottom w:w="0" w:type="dxa"/>
              <w:right w:w="62" w:type="dxa"/>
            </w:tcMar>
          </w:tcPr>
          <w:p w:rsidR="00000000" w:rsidRPr="000D476A" w:rsidP="000D476A">
            <w:pPr>
              <w:pStyle w:val="BodyText"/>
            </w:pPr>
            <w:r w:rsidRPr="000D476A">
              <w:t>Sample collection methods include, but are not limited to,</w:t>
            </w:r>
            <w:r w:rsidRPr="000D476A">
              <w:t xml:space="preserve"> one or more of: </w:t>
            </w:r>
          </w:p>
          <w:p w:rsidR="00000000" w:rsidRPr="000D476A" w:rsidP="000D476A">
            <w:pPr>
              <w:pStyle w:val="ListBullet"/>
            </w:pPr>
            <w:r w:rsidRPr="000D476A">
              <w:t>hand picking (including use of forceps and gloves)</w:t>
            </w:r>
          </w:p>
          <w:p w:rsidR="00000000" w:rsidRPr="000D476A" w:rsidP="000D476A">
            <w:pPr>
              <w:pStyle w:val="ListBullet"/>
            </w:pPr>
            <w:r w:rsidRPr="000D476A">
              <w:t>tape lifting</w:t>
            </w:r>
          </w:p>
          <w:p w:rsidR="00000000" w:rsidRPr="000D476A" w:rsidP="000D476A">
            <w:pPr>
              <w:pStyle w:val="ListBullet"/>
            </w:pPr>
            <w:r w:rsidRPr="000D476A">
              <w:t>sweeping and vacuuming</w:t>
            </w:r>
          </w:p>
          <w:p w:rsidR="00000000" w:rsidRPr="000D476A" w:rsidP="000D476A">
            <w:pPr>
              <w:pStyle w:val="ListBullet"/>
            </w:pPr>
            <w:r w:rsidRPr="000D476A">
              <w:t>swabbing</w:t>
            </w:r>
          </w:p>
          <w:p w:rsidR="00000000" w:rsidRPr="000D476A" w:rsidP="000D476A">
            <w:pPr>
              <w:pStyle w:val="ListBullet"/>
            </w:pPr>
            <w:r w:rsidRPr="000D476A">
              <w:t>liquid and solid sampling procedures</w:t>
            </w:r>
          </w:p>
          <w:p w:rsidR="00000000" w:rsidP="000D476A">
            <w:pPr>
              <w:pStyle w:val="BodyText"/>
              <w:rPr>
                <w:lang w:val="en-NZ"/>
              </w:rPr>
            </w:pPr>
          </w:p>
        </w:tc>
      </w:tr>
      <w:tr w:rsidTr="000C2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rPr>
                <w:rStyle w:val="SpecialBold"/>
              </w:rPr>
              <w:t>Methods for recording location of evidence</w:t>
            </w:r>
          </w:p>
        </w:tc>
        <w:tc>
          <w:tcPr>
            <w:tcW w:w="0" w:type="auto"/>
            <w:tcBorders>
              <w:top w:val="nil"/>
              <w:left w:val="nil"/>
              <w:bottom w:val="nil"/>
              <w:right w:val="nil"/>
            </w:tcBorders>
            <w:tcMar>
              <w:top w:w="0" w:type="dxa"/>
              <w:left w:w="62" w:type="dxa"/>
              <w:bottom w:w="0" w:type="dxa"/>
              <w:right w:w="62" w:type="dxa"/>
            </w:tcMar>
          </w:tcPr>
          <w:p w:rsidR="00000000" w:rsidRPr="000D476A" w:rsidP="000D476A">
            <w:pPr>
              <w:pStyle w:val="BodyText"/>
            </w:pPr>
            <w:r w:rsidRPr="000D476A">
              <w:t>Methods for recording the position of located evidence include, but are not limited to, one or more of:</w:t>
            </w:r>
          </w:p>
          <w:p w:rsidR="00000000" w:rsidRPr="000D476A" w:rsidP="000D476A">
            <w:pPr>
              <w:pStyle w:val="ListBullet"/>
            </w:pPr>
            <w:r w:rsidRPr="000D476A">
              <w:t xml:space="preserve">photographs </w:t>
            </w:r>
          </w:p>
          <w:p w:rsidR="00000000" w:rsidRPr="000D476A" w:rsidP="000D476A">
            <w:pPr>
              <w:pStyle w:val="ListBullet"/>
            </w:pPr>
            <w:r w:rsidRPr="000D476A">
              <w:t>video</w:t>
            </w:r>
          </w:p>
          <w:p w:rsidR="00000000" w:rsidRPr="000D476A" w:rsidP="000D476A">
            <w:pPr>
              <w:pStyle w:val="ListBullet"/>
            </w:pPr>
            <w:r w:rsidRPr="000D476A">
              <w:t>diagrams and sketches, hand written notes/documentation</w:t>
            </w:r>
          </w:p>
          <w:p w:rsidR="00000000" w:rsidRPr="000D476A" w:rsidP="000D476A">
            <w:pPr>
              <w:pStyle w:val="ListBullet"/>
            </w:pPr>
            <w:r w:rsidRPr="000D476A">
              <w:t>computer data</w:t>
            </w:r>
          </w:p>
          <w:p w:rsidR="00000000" w:rsidRPr="000D476A" w:rsidP="000D476A">
            <w:pPr>
              <w:pStyle w:val="ListBullet"/>
            </w:pPr>
            <w:r w:rsidRPr="000D476A">
              <w:t>global positioning system (GPS)</w:t>
            </w:r>
          </w:p>
          <w:p w:rsidR="00000000" w:rsidP="000D476A">
            <w:pPr>
              <w:pStyle w:val="BodyText"/>
              <w:rPr>
                <w:lang w:val="en-NZ"/>
              </w:rPr>
            </w:pPr>
          </w:p>
        </w:tc>
      </w:tr>
      <w:tr w:rsidTr="000C2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rPr>
                <w:rStyle w:val="SpecialBold"/>
              </w:rPr>
              <w:t>Evidence and samples</w:t>
            </w:r>
          </w:p>
        </w:tc>
        <w:tc>
          <w:tcPr>
            <w:tcW w:w="0" w:type="auto"/>
            <w:tcBorders>
              <w:top w:val="nil"/>
              <w:left w:val="nil"/>
              <w:bottom w:val="nil"/>
              <w:right w:val="nil"/>
            </w:tcBorders>
            <w:tcMar>
              <w:top w:w="0" w:type="dxa"/>
              <w:left w:w="62" w:type="dxa"/>
              <w:bottom w:w="0" w:type="dxa"/>
              <w:right w:w="62" w:type="dxa"/>
            </w:tcMar>
          </w:tcPr>
          <w:p w:rsidR="00000000" w:rsidRPr="000D476A" w:rsidP="000D476A">
            <w:pPr>
              <w:pStyle w:val="BodyText"/>
            </w:pPr>
            <w:r w:rsidRPr="000D476A">
              <w:t>Evidenc</w:t>
            </w:r>
            <w:r w:rsidRPr="000D476A">
              <w:t>e and samples include, but are not limited to, one or more of:</w:t>
            </w:r>
          </w:p>
          <w:p w:rsidR="00000000" w:rsidRPr="000D476A" w:rsidP="000D476A">
            <w:pPr>
              <w:pStyle w:val="ListBullet"/>
            </w:pPr>
            <w:r w:rsidRPr="000D476A">
              <w:t>any and all objects:</w:t>
            </w:r>
          </w:p>
          <w:p w:rsidR="00000000" w:rsidRPr="000D476A" w:rsidP="000D476A">
            <w:pPr>
              <w:pStyle w:val="ListBullet2"/>
            </w:pPr>
            <w:r w:rsidRPr="000D476A">
              <w:t>gross or microscopic</w:t>
            </w:r>
          </w:p>
          <w:p w:rsidR="00000000" w:rsidRPr="000D476A" w:rsidP="000D476A">
            <w:pPr>
              <w:pStyle w:val="ListBullet2"/>
            </w:pPr>
            <w:r w:rsidRPr="000D476A">
              <w:t>living or inanimate</w:t>
            </w:r>
          </w:p>
          <w:p w:rsidR="00000000" w:rsidRPr="000D476A" w:rsidP="000D476A">
            <w:pPr>
              <w:pStyle w:val="ListBullet2"/>
            </w:pPr>
            <w:r w:rsidRPr="000D476A">
              <w:t>solid, liquid or gas</w:t>
            </w:r>
          </w:p>
          <w:p w:rsidR="00000000" w:rsidRPr="000D476A" w:rsidP="000D476A">
            <w:pPr>
              <w:pStyle w:val="ListBullet2"/>
            </w:pPr>
            <w:r w:rsidRPr="000D476A">
              <w:t>relationships between all such objects</w:t>
            </w:r>
          </w:p>
          <w:p w:rsidR="00000000" w:rsidRPr="000D476A" w:rsidP="000D476A">
            <w:pPr>
              <w:pStyle w:val="ListBullet"/>
            </w:pPr>
            <w:r w:rsidRPr="000D476A">
              <w:t>development/enhancement/examination (e.g. use of poly light)</w:t>
            </w:r>
          </w:p>
          <w:p w:rsidR="00000000" w:rsidRPr="000D476A" w:rsidP="000D476A">
            <w:pPr>
              <w:pStyle w:val="ListBullet"/>
            </w:pPr>
            <w:r w:rsidRPr="000D476A">
              <w:t>trace evidence examinations</w:t>
            </w:r>
          </w:p>
          <w:p w:rsidR="00000000" w:rsidRPr="000D476A" w:rsidP="000D476A">
            <w:pPr>
              <w:pStyle w:val="ListBullet"/>
            </w:pPr>
            <w:r w:rsidRPr="000D476A">
              <w:t>biological samples, such as organs, hair, blood, semen and saliva</w:t>
            </w:r>
          </w:p>
          <w:p w:rsidR="00000000" w:rsidRPr="000D476A" w:rsidP="000D476A">
            <w:pPr>
              <w:pStyle w:val="ListBullet"/>
            </w:pPr>
            <w:r w:rsidRPr="000D476A">
              <w:t>blood splatter patterns</w:t>
            </w:r>
          </w:p>
          <w:p w:rsidR="00000000" w:rsidRPr="000D476A" w:rsidP="000D476A">
            <w:pPr>
              <w:pStyle w:val="ListBullet"/>
            </w:pPr>
            <w:r w:rsidRPr="000D476A">
              <w:t>clothing</w:t>
            </w:r>
          </w:p>
          <w:p w:rsidR="00000000" w:rsidRPr="000D476A" w:rsidP="000D476A">
            <w:pPr>
              <w:pStyle w:val="ListBullet"/>
            </w:pPr>
            <w:r w:rsidRPr="000D476A">
              <w:t>documents</w:t>
            </w:r>
          </w:p>
          <w:p w:rsidR="00000000" w:rsidRPr="000D476A" w:rsidP="000D476A">
            <w:pPr>
              <w:pStyle w:val="ListBullet"/>
            </w:pPr>
            <w:r w:rsidRPr="000D476A">
              <w:t>drugs</w:t>
            </w:r>
          </w:p>
          <w:p w:rsidR="00000000" w:rsidRPr="000D476A" w:rsidP="000D476A">
            <w:pPr>
              <w:pStyle w:val="ListBullet"/>
            </w:pPr>
            <w:r w:rsidRPr="000D476A">
              <w:t>explosives</w:t>
            </w:r>
          </w:p>
          <w:p w:rsidR="00000000" w:rsidRPr="000D476A" w:rsidP="000D476A">
            <w:pPr>
              <w:pStyle w:val="ListBullet"/>
            </w:pPr>
            <w:r w:rsidRPr="000D476A">
              <w:t>fibres</w:t>
            </w:r>
          </w:p>
          <w:p w:rsidR="00000000" w:rsidRPr="000D476A" w:rsidP="000D476A">
            <w:pPr>
              <w:pStyle w:val="ListBullet"/>
            </w:pPr>
            <w:r w:rsidRPr="000D476A">
              <w:t>fingerprint development/enhancement/examination</w:t>
            </w:r>
          </w:p>
          <w:p w:rsidR="00000000" w:rsidRPr="000D476A" w:rsidP="000D476A">
            <w:pPr>
              <w:pStyle w:val="ListBullet"/>
            </w:pPr>
            <w:r w:rsidRPr="000D476A">
              <w:t>fire debris</w:t>
            </w:r>
          </w:p>
          <w:p w:rsidR="00000000" w:rsidRPr="000D476A" w:rsidP="000D476A">
            <w:pPr>
              <w:pStyle w:val="ListBullet"/>
            </w:pPr>
            <w:r w:rsidRPr="000D476A">
              <w:t>firearm and ammunition examinations</w:t>
            </w:r>
          </w:p>
          <w:p w:rsidR="00000000" w:rsidRPr="000D476A" w:rsidP="000D476A">
            <w:pPr>
              <w:pStyle w:val="ListBullet"/>
            </w:pPr>
            <w:r w:rsidRPr="000D476A">
              <w:t>impressions</w:t>
            </w:r>
          </w:p>
          <w:p w:rsidR="00000000" w:rsidRPr="000D476A" w:rsidP="000D476A">
            <w:pPr>
              <w:pStyle w:val="ListBullet"/>
            </w:pPr>
            <w:r w:rsidRPr="000D476A">
              <w:t>paint</w:t>
            </w:r>
          </w:p>
          <w:p w:rsidR="00000000" w:rsidRPr="000D476A" w:rsidP="000D476A">
            <w:pPr>
              <w:pStyle w:val="ListBullet"/>
            </w:pPr>
            <w:r w:rsidRPr="000D476A">
              <w:t>petroleum products</w:t>
            </w:r>
          </w:p>
          <w:p w:rsidR="00000000" w:rsidRPr="000D476A" w:rsidP="000D476A">
            <w:pPr>
              <w:pStyle w:val="ListBullet"/>
            </w:pPr>
            <w:r w:rsidRPr="000D476A">
              <w:t>powder residues</w:t>
            </w:r>
          </w:p>
          <w:p w:rsidR="00000000" w:rsidRPr="000D476A" w:rsidP="000D476A">
            <w:pPr>
              <w:pStyle w:val="ListBullet"/>
            </w:pPr>
            <w:r w:rsidRPr="000D476A">
              <w:t>serial numbers</w:t>
            </w:r>
          </w:p>
          <w:p w:rsidR="00000000" w:rsidRPr="000D476A" w:rsidP="000D476A">
            <w:pPr>
              <w:pStyle w:val="ListBullet"/>
            </w:pPr>
            <w:r w:rsidRPr="000D476A">
              <w:t>shoeprint and tyre marks</w:t>
            </w:r>
          </w:p>
          <w:p w:rsidR="00000000" w:rsidRPr="000D476A" w:rsidP="000D476A">
            <w:pPr>
              <w:pStyle w:val="ListBullet"/>
            </w:pPr>
            <w:r w:rsidRPr="000D476A">
              <w:t>soils and minerals</w:t>
            </w:r>
          </w:p>
          <w:p w:rsidR="00000000" w:rsidRPr="000D476A" w:rsidP="000D476A">
            <w:pPr>
              <w:pStyle w:val="ListBullet"/>
            </w:pPr>
            <w:r w:rsidRPr="000D476A">
              <w:t>toolmark examination</w:t>
            </w:r>
          </w:p>
          <w:p w:rsidR="00000000" w:rsidP="000D476A">
            <w:pPr>
              <w:pStyle w:val="BodyText"/>
              <w:rPr>
                <w:lang w:val="en-NZ"/>
              </w:rPr>
            </w:pPr>
          </w:p>
        </w:tc>
      </w:tr>
      <w:tr w:rsidTr="000C2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rPr>
                <w:rStyle w:val="SpecialBold"/>
              </w:rPr>
              <w:t>Packaging samples</w:t>
            </w:r>
          </w:p>
        </w:tc>
        <w:tc>
          <w:tcPr>
            <w:tcW w:w="0" w:type="auto"/>
            <w:tcBorders>
              <w:top w:val="nil"/>
              <w:left w:val="nil"/>
              <w:bottom w:val="nil"/>
              <w:right w:val="nil"/>
            </w:tcBorders>
            <w:tcMar>
              <w:top w:w="0" w:type="dxa"/>
              <w:left w:w="62" w:type="dxa"/>
              <w:bottom w:w="0" w:type="dxa"/>
              <w:right w:w="62" w:type="dxa"/>
            </w:tcMar>
          </w:tcPr>
          <w:p w:rsidR="00000000" w:rsidRPr="000D476A" w:rsidP="000D476A">
            <w:pPr>
              <w:pStyle w:val="BodyText"/>
            </w:pPr>
            <w:r w:rsidRPr="000D476A">
              <w:t>Packaging samples takes into account, but is not limited to, one or more of:</w:t>
            </w:r>
          </w:p>
          <w:p w:rsidR="00000000" w:rsidRPr="000D476A" w:rsidP="000D476A">
            <w:pPr>
              <w:pStyle w:val="ListBullet"/>
            </w:pPr>
            <w:r w:rsidRPr="000D476A">
              <w:t>physical nature of the evidence/sample</w:t>
            </w:r>
          </w:p>
          <w:p w:rsidR="00000000" w:rsidRPr="000D476A" w:rsidP="000D476A">
            <w:pPr>
              <w:pStyle w:val="ListBullet"/>
            </w:pPr>
            <w:r w:rsidRPr="000D476A">
              <w:t>packaging medium</w:t>
            </w:r>
          </w:p>
          <w:p w:rsidR="00000000" w:rsidRPr="000D476A" w:rsidP="000D476A">
            <w:pPr>
              <w:pStyle w:val="ListBullet"/>
            </w:pPr>
            <w:r w:rsidRPr="000D476A">
              <w:t>tamper evident seals</w:t>
            </w:r>
          </w:p>
          <w:p w:rsidR="00000000" w:rsidRPr="000D476A" w:rsidP="000D476A">
            <w:pPr>
              <w:pStyle w:val="ListBullet"/>
            </w:pPr>
            <w:r w:rsidRPr="000D476A">
              <w:t>exhibit labels</w:t>
            </w:r>
          </w:p>
          <w:p w:rsidR="00000000" w:rsidRPr="000D476A" w:rsidP="000D476A">
            <w:pPr>
              <w:pStyle w:val="ListBullet"/>
            </w:pPr>
            <w:r w:rsidRPr="000D476A">
              <w:t>drying of wet exhibits</w:t>
            </w:r>
          </w:p>
          <w:p w:rsidR="00000000" w:rsidRPr="000D476A" w:rsidP="000D476A">
            <w:pPr>
              <w:pStyle w:val="ListBullet"/>
            </w:pPr>
            <w:r w:rsidRPr="000D476A">
              <w:t>storage temperature</w:t>
            </w:r>
          </w:p>
          <w:p w:rsidR="00000000" w:rsidP="000D476A">
            <w:pPr>
              <w:pStyle w:val="BodyText"/>
              <w:rPr>
                <w:lang w:val="en-NZ"/>
              </w:rPr>
            </w:pPr>
          </w:p>
        </w:tc>
      </w:tr>
      <w:tr w:rsidTr="000C2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rPr>
                <w:rStyle w:val="SpecialBold"/>
              </w:rPr>
              <w:t>Maintaining integrity of samples</w:t>
            </w:r>
          </w:p>
        </w:tc>
        <w:tc>
          <w:tcPr>
            <w:tcW w:w="0" w:type="auto"/>
            <w:tcBorders>
              <w:top w:val="nil"/>
              <w:left w:val="nil"/>
              <w:bottom w:val="nil"/>
              <w:right w:val="nil"/>
            </w:tcBorders>
            <w:tcMar>
              <w:top w:w="0" w:type="dxa"/>
              <w:left w:w="62" w:type="dxa"/>
              <w:bottom w:w="0" w:type="dxa"/>
              <w:right w:w="62" w:type="dxa"/>
            </w:tcMar>
          </w:tcPr>
          <w:p w:rsidR="00000000" w:rsidRPr="000D476A" w:rsidP="000D476A">
            <w:pPr>
              <w:pStyle w:val="BodyText"/>
            </w:pPr>
            <w:r w:rsidRPr="000D476A">
              <w:t>Maintaining the integrity of samples includes, but is not limited to, one or more of:</w:t>
            </w:r>
          </w:p>
          <w:p w:rsidR="00000000" w:rsidRPr="000D476A" w:rsidP="000D476A">
            <w:pPr>
              <w:pStyle w:val="ListBullet"/>
            </w:pPr>
            <w:r w:rsidRPr="000D476A">
              <w:t>use of appropriate sample containers (glass, plastic and opaque)</w:t>
            </w:r>
          </w:p>
          <w:p w:rsidR="00000000" w:rsidRPr="000D476A" w:rsidP="000D476A">
            <w:pPr>
              <w:pStyle w:val="ListBullet"/>
            </w:pPr>
            <w:r w:rsidRPr="000D476A">
              <w:t>use of appropriate preservatives</w:t>
            </w:r>
          </w:p>
          <w:p w:rsidR="00000000" w:rsidRPr="000D476A" w:rsidP="000D476A">
            <w:pPr>
              <w:pStyle w:val="ListBullet"/>
            </w:pPr>
            <w:r w:rsidRPr="000D476A">
              <w:t>wrapping container in foil to exclude light</w:t>
            </w:r>
          </w:p>
          <w:p w:rsidR="00000000" w:rsidRPr="000D476A" w:rsidP="000D476A">
            <w:pPr>
              <w:pStyle w:val="ListBullet"/>
            </w:pPr>
            <w:r w:rsidRPr="000D476A">
              <w:t>temperature control, which may involve prevention of direct contact between the sample and coolant</w:t>
            </w:r>
          </w:p>
          <w:p w:rsidR="00000000" w:rsidRPr="000D476A" w:rsidP="000D476A">
            <w:pPr>
              <w:pStyle w:val="ListBullet"/>
            </w:pPr>
            <w:r w:rsidRPr="000D476A">
              <w:t>use of appropriate equipment boxes (insulated, shockproof and waterproof)</w:t>
            </w:r>
          </w:p>
          <w:p w:rsidR="00000000" w:rsidRPr="000D476A" w:rsidP="000D476A">
            <w:pPr>
              <w:pStyle w:val="ListBullet"/>
            </w:pPr>
            <w:r w:rsidRPr="000D476A">
              <w:t>restraint of containers to prevent movement</w:t>
            </w:r>
          </w:p>
          <w:p w:rsidR="00000000" w:rsidRPr="000D476A" w:rsidP="000D476A">
            <w:pPr>
              <w:pStyle w:val="ListBullet"/>
            </w:pPr>
            <w:r w:rsidRPr="000D476A">
              <w:t>checking sample viability during transport while avoiding unnecessary handling</w:t>
            </w:r>
          </w:p>
          <w:p w:rsidR="00000000" w:rsidP="000D476A">
            <w:pPr>
              <w:pStyle w:val="BodyText"/>
              <w:rPr>
                <w:lang w:val="en-NZ"/>
              </w:rPr>
            </w:pPr>
          </w:p>
        </w:tc>
      </w:tr>
      <w:tr w:rsidTr="000C2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rPr>
                <w:rStyle w:val="SpecialBold"/>
              </w:rPr>
              <w:t xml:space="preserve">Safety equipment and procedures </w:t>
            </w:r>
          </w:p>
        </w:tc>
        <w:tc>
          <w:tcPr>
            <w:tcW w:w="0" w:type="auto"/>
            <w:tcBorders>
              <w:top w:val="nil"/>
              <w:left w:val="nil"/>
              <w:bottom w:val="nil"/>
              <w:right w:val="nil"/>
            </w:tcBorders>
            <w:tcMar>
              <w:top w:w="0" w:type="dxa"/>
              <w:left w:w="62" w:type="dxa"/>
              <w:bottom w:w="0" w:type="dxa"/>
              <w:right w:w="62" w:type="dxa"/>
            </w:tcMar>
          </w:tcPr>
          <w:p w:rsidR="00000000" w:rsidRPr="000D476A" w:rsidP="000D476A">
            <w:pPr>
              <w:pStyle w:val="BodyText"/>
            </w:pPr>
            <w:r w:rsidRPr="000D476A">
              <w:t>Safety procedures includ</w:t>
            </w:r>
            <w:r w:rsidRPr="000D476A">
              <w:t>e, but are not limited to, one or more of:</w:t>
            </w:r>
          </w:p>
          <w:p w:rsidR="00000000" w:rsidRPr="000D476A" w:rsidP="000D476A">
            <w:pPr>
              <w:pStyle w:val="ListBullet"/>
            </w:pPr>
            <w:r w:rsidRPr="000D476A">
              <w:t>use of equipment to address dangers at sites (e.g. propping up unstable walls or climbing gear to go down cliffs)</w:t>
            </w:r>
          </w:p>
          <w:p w:rsidR="00000000" w:rsidRPr="000D476A" w:rsidP="000D476A">
            <w:pPr>
              <w:pStyle w:val="ListBullet"/>
            </w:pPr>
            <w:r w:rsidRPr="000D476A">
              <w:t>ensuring access to service shut-off points</w:t>
            </w:r>
          </w:p>
          <w:p w:rsidR="00000000" w:rsidRPr="000D476A" w:rsidP="000D476A">
            <w:pPr>
              <w:pStyle w:val="ListBullet"/>
            </w:pPr>
            <w:r w:rsidRPr="000D476A">
              <w:t>recognising and observing hazard warnings and safety si</w:t>
            </w:r>
            <w:r w:rsidRPr="000D476A">
              <w:t>gns</w:t>
            </w:r>
          </w:p>
          <w:p w:rsidR="00000000" w:rsidRPr="000D476A" w:rsidP="000D476A">
            <w:pPr>
              <w:pStyle w:val="ListBullet"/>
            </w:pPr>
            <w:r w:rsidRPr="000D476A">
              <w:t>using biohazard containers</w:t>
            </w:r>
          </w:p>
          <w:p w:rsidR="00000000" w:rsidRPr="000D476A" w:rsidP="000D476A">
            <w:pPr>
              <w:pStyle w:val="ListBullet"/>
            </w:pPr>
            <w:r w:rsidRPr="000D476A">
              <w:t>labelling of samples and hazardous materials</w:t>
            </w:r>
          </w:p>
          <w:p w:rsidR="00000000" w:rsidRPr="000D476A" w:rsidP="000D476A">
            <w:pPr>
              <w:pStyle w:val="ListBullet"/>
            </w:pPr>
            <w:r w:rsidRPr="000D476A">
              <w:t>handling and storage of hazardous materials and equipment in accordance with labelling, MSDS and manufacturer instructions</w:t>
            </w:r>
          </w:p>
          <w:p w:rsidR="00000000" w:rsidRPr="000D476A" w:rsidP="000D476A">
            <w:pPr>
              <w:pStyle w:val="ListBullet"/>
            </w:pPr>
            <w:r w:rsidRPr="000D476A">
              <w:t>identifying and reporting operating problems or equipment</w:t>
            </w:r>
            <w:r w:rsidRPr="000D476A">
              <w:t xml:space="preserve"> malfunctions</w:t>
            </w:r>
          </w:p>
          <w:p w:rsidR="00000000" w:rsidRPr="000D476A" w:rsidP="000D476A">
            <w:pPr>
              <w:pStyle w:val="ListBullet"/>
            </w:pPr>
            <w:r w:rsidRPr="000D476A">
              <w:t>cleaning equipment and work areas regularly using workplace procedures</w:t>
            </w:r>
          </w:p>
          <w:p w:rsidR="00000000" w:rsidRPr="000D476A" w:rsidP="000D476A">
            <w:pPr>
              <w:pStyle w:val="ListBullet"/>
            </w:pPr>
            <w:r w:rsidRPr="000D476A">
              <w:t>using PPE, such as gloves, safety glasses, coveralls and safety boots</w:t>
            </w:r>
          </w:p>
          <w:p w:rsidR="00000000" w:rsidRPr="000D476A" w:rsidP="000D476A">
            <w:pPr>
              <w:pStyle w:val="ListBullet"/>
            </w:pPr>
            <w:r w:rsidRPr="000D476A">
              <w:t>following established manual handling procedures</w:t>
            </w:r>
          </w:p>
          <w:p w:rsidR="00000000" w:rsidRPr="000D476A" w:rsidP="000D476A">
            <w:pPr>
              <w:pStyle w:val="ListBullet"/>
            </w:pPr>
            <w:r w:rsidRPr="000D476A">
              <w:t>reporting abnormal emissions, discharges and airborne contaminants, such as noise, light, solids, liquids, water/wastewater, gases, smoke, vapour, fumes, odour and particulates, to appropriate personnel</w:t>
            </w:r>
          </w:p>
          <w:p w:rsidR="00000000" w:rsidP="000D476A">
            <w:pPr>
              <w:pStyle w:val="BodyText"/>
              <w:rPr>
                <w:lang w:val="en-NZ"/>
              </w:rPr>
            </w:pPr>
          </w:p>
        </w:tc>
      </w:tr>
      <w:tr w:rsidTr="000C2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76A">
            <w:pPr>
              <w:pStyle w:val="BodyText"/>
              <w:rPr>
                <w:lang w:val="en-NZ"/>
              </w:rPr>
            </w:pPr>
            <w:r w:rsidRPr="000D476A">
              <w:rPr>
                <w:rStyle w:val="SpecialBold"/>
              </w:rPr>
              <w:t>WHS and environmental management requirements</w:t>
            </w:r>
          </w:p>
        </w:tc>
        <w:tc>
          <w:tcPr>
            <w:tcW w:w="0" w:type="auto"/>
            <w:tcBorders>
              <w:top w:val="nil"/>
              <w:left w:val="nil"/>
              <w:bottom w:val="nil"/>
              <w:right w:val="nil"/>
            </w:tcBorders>
            <w:tcMar>
              <w:top w:w="0" w:type="dxa"/>
              <w:left w:w="62" w:type="dxa"/>
              <w:bottom w:w="0" w:type="dxa"/>
              <w:right w:w="62" w:type="dxa"/>
            </w:tcMar>
          </w:tcPr>
          <w:p w:rsidR="00000000" w:rsidRPr="000D476A" w:rsidP="000D476A">
            <w:pPr>
              <w:pStyle w:val="BodyText"/>
            </w:pPr>
            <w:r w:rsidRPr="000D476A">
              <w:t>WHS a</w:t>
            </w:r>
            <w:r w:rsidRPr="000D476A">
              <w:t>nd environmental management requirements include:</w:t>
            </w:r>
          </w:p>
          <w:p w:rsidR="00000000" w:rsidRPr="000D476A" w:rsidP="000D476A">
            <w:pPr>
              <w:pStyle w:val="BodyText"/>
            </w:pPr>
            <w:r w:rsidRPr="000D476A">
              <w:rPr>
                <w:rStyle w:val="Symbols"/>
              </w:rPr>
              <w:t></w:t>
            </w:r>
            <w:r w:rsidRPr="000D476A">
              <w:rPr>
                <w:rStyle w:val="Symbols"/>
              </w:rPr>
              <w:tab/>
            </w:r>
            <w:r w:rsidRPr="000D476A">
              <w:t>complying with WHS and environmental management requirements at all times, which may be imposed through state/territory or federal legislation. These requirements must not be compromised at any time</w:t>
            </w:r>
          </w:p>
          <w:p w:rsidR="00000000" w:rsidRPr="000D476A" w:rsidP="000D476A">
            <w:pPr>
              <w:pStyle w:val="BodyText"/>
            </w:pPr>
            <w:r w:rsidRPr="000D476A">
              <w:rPr>
                <w:rStyle w:val="Symbols"/>
              </w:rPr>
              <w:t></w:t>
            </w:r>
            <w:r w:rsidRPr="000D476A">
              <w:rPr>
                <w:rStyle w:val="Symbols"/>
              </w:rPr>
              <w:tab/>
            </w:r>
            <w:r w:rsidRPr="000D476A">
              <w:t>applying standard precautions relating to the potentially hazardous nature of samples</w:t>
            </w:r>
          </w:p>
          <w:p w:rsidR="00000000" w:rsidRPr="000D476A" w:rsidP="000D476A">
            <w:pPr>
              <w:pStyle w:val="ListBullet"/>
            </w:pPr>
            <w:r w:rsidRPr="000D476A">
              <w:t>accessing and applying current industry understanding of infection control issued by the National Health and Medical Research Council (NHMRC) and State and Territory Dep</w:t>
            </w:r>
            <w:r w:rsidRPr="000D476A">
              <w:t>artments of Health, where relevant</w:t>
            </w:r>
          </w:p>
        </w:tc>
      </w:tr>
    </w:tbl>
    <w:p w:rsidR="00000000" w:rsidRPr="000D476A" w:rsidP="000D476A">
      <w:pPr>
        <w:pStyle w:val="BodyText"/>
      </w:pPr>
    </w:p>
    <w:p w:rsidR="00000000" w:rsidRPr="000D476A" w:rsidP="000D476A">
      <w:pPr>
        <w:pStyle w:val="AllowPageBreak"/>
      </w:pPr>
    </w:p>
    <w:p w:rsidR="00000000" w:rsidRPr="000D476A" w:rsidP="000D476A">
      <w:pPr>
        <w:pStyle w:val="Heading1"/>
      </w:pPr>
      <w:bookmarkStart w:id="9" w:name="O_901972"/>
      <w:bookmarkEnd w:id="9"/>
      <w:r w:rsidRPr="000D476A">
        <w:t>Unit Mapping Information</w:t>
      </w:r>
    </w:p>
    <w:p w:rsidR="00000000" w:rsidRPr="000D476A" w:rsidP="000D476A">
      <w:pPr>
        <w:pStyle w:val="BodyText"/>
      </w:pPr>
      <w:r w:rsidRPr="000D476A">
        <w:t>Release 1. Supersedes and is equivalent to MSL975024A Locate record and collect forensic samples</w:t>
      </w:r>
    </w:p>
    <w:p w:rsidR="00000000" w:rsidRPr="000D476A" w:rsidP="000D476A">
      <w:pPr>
        <w:pStyle w:val="AllowPageBreak"/>
      </w:pPr>
    </w:p>
    <w:p w:rsidR="00000000" w:rsidRPr="000D476A" w:rsidP="000D476A">
      <w:pPr>
        <w:pStyle w:val="Heading1"/>
      </w:pPr>
      <w:bookmarkStart w:id="10" w:name="O_901965"/>
      <w:bookmarkEnd w:id="10"/>
      <w:r w:rsidRPr="000D476A">
        <w:t>Links</w:t>
      </w:r>
    </w:p>
    <w:p w:rsidR="00000000" w:rsidRPr="000D476A" w:rsidP="000D476A">
      <w:pPr>
        <w:pStyle w:val="BodyText"/>
      </w:pPr>
      <w:r w:rsidRPr="000D476A">
        <w:t>MSA Training Package Implementation Guides - http://mskills.org.au/training-packages/info/</w:t>
      </w:r>
    </w:p>
    <w:p w:rsidR="00000000" w:rsidRPr="000D476A" w:rsidP="000D476A"/>
    <w:sectPr w:rsidSect="000D47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7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76A" w:rsidRPr="000C2AB1" w:rsidP="000C2A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7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AB1" w:rsidP="000D47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C2AB1" w:rsidP="000D476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C2AB1" w:rsidP="000D47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7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76A" w:rsidRPr="000C2AB1" w:rsidP="000C2A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7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AB1" w:rsidRPr="002D2AF8" w:rsidP="000D476A">
    <w:pPr>
      <w:pStyle w:val="Header"/>
      <w:framePr w:wrap="around"/>
    </w:pPr>
    <w:r>
      <w:fldChar w:fldCharType="begin"/>
    </w:r>
    <w:r>
      <w:instrText xml:space="preserve"> TITLE   \* MERGEFORMAT </w:instrText>
    </w:r>
    <w:r>
      <w:fldChar w:fldCharType="separate"/>
    </w:r>
    <w:r>
      <w:t>MSL975024 Locate, record and collect forensic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0C2AB1" w:rsidP="000D47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F45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44D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2692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7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76A"/>
    <w:pPr>
      <w:spacing w:before="360" w:after="60"/>
      <w:outlineLvl w:val="0"/>
    </w:pPr>
    <w:rPr>
      <w:sz w:val="32"/>
    </w:rPr>
  </w:style>
  <w:style w:type="paragraph" w:styleId="Heading2">
    <w:name w:val="heading 2"/>
    <w:basedOn w:val="HeadingBase"/>
    <w:next w:val="BodyText"/>
    <w:link w:val="Heading2Char"/>
    <w:qFormat/>
    <w:rsid w:val="000D476A"/>
    <w:pPr>
      <w:keepLines/>
      <w:spacing w:before="240" w:after="120"/>
      <w:outlineLvl w:val="1"/>
    </w:pPr>
    <w:rPr>
      <w:sz w:val="28"/>
      <w:szCs w:val="40"/>
    </w:rPr>
  </w:style>
  <w:style w:type="paragraph" w:styleId="Heading3">
    <w:name w:val="heading 3"/>
    <w:basedOn w:val="HeadingBase"/>
    <w:next w:val="BodyText"/>
    <w:link w:val="Heading3Char"/>
    <w:qFormat/>
    <w:rsid w:val="000D476A"/>
    <w:pPr>
      <w:spacing w:before="180" w:after="120"/>
      <w:outlineLvl w:val="2"/>
    </w:pPr>
    <w:rPr>
      <w:spacing w:val="-10"/>
      <w:kern w:val="32"/>
    </w:rPr>
  </w:style>
  <w:style w:type="paragraph" w:styleId="Heading4">
    <w:name w:val="heading 4"/>
    <w:basedOn w:val="HeadingBase"/>
    <w:next w:val="BodyText"/>
    <w:link w:val="Heading4Char"/>
    <w:qFormat/>
    <w:rsid w:val="000D476A"/>
    <w:pPr>
      <w:spacing w:before="160" w:after="120"/>
      <w:outlineLvl w:val="3"/>
    </w:pPr>
    <w:rPr>
      <w:sz w:val="22"/>
    </w:rPr>
  </w:style>
  <w:style w:type="paragraph" w:styleId="Heading5">
    <w:name w:val="heading 5"/>
    <w:basedOn w:val="HeadingBase"/>
    <w:next w:val="Normal"/>
    <w:link w:val="Heading5Char"/>
    <w:qFormat/>
    <w:rsid w:val="000D476A"/>
    <w:pPr>
      <w:spacing w:before="80"/>
      <w:outlineLvl w:val="4"/>
    </w:pPr>
    <w:rPr>
      <w:color w:val="918585"/>
      <w:sz w:val="20"/>
    </w:rPr>
  </w:style>
  <w:style w:type="paragraph" w:styleId="Heading6">
    <w:name w:val="heading 6"/>
    <w:basedOn w:val="HeadingBase"/>
    <w:next w:val="Normal"/>
    <w:link w:val="Heading6Char"/>
    <w:qFormat/>
    <w:rsid w:val="000D476A"/>
    <w:pPr>
      <w:spacing w:before="60"/>
      <w:outlineLvl w:val="5"/>
    </w:pPr>
    <w:rPr>
      <w:color w:val="918585"/>
      <w:sz w:val="20"/>
    </w:rPr>
  </w:style>
  <w:style w:type="paragraph" w:styleId="Heading7">
    <w:name w:val="heading 7"/>
    <w:basedOn w:val="Normal"/>
    <w:next w:val="Normal"/>
    <w:link w:val="Heading7Char"/>
    <w:qFormat/>
    <w:rsid w:val="000D476A"/>
    <w:pPr>
      <w:ind w:left="720"/>
      <w:outlineLvl w:val="6"/>
    </w:pPr>
    <w:rPr>
      <w:i/>
    </w:rPr>
  </w:style>
  <w:style w:type="paragraph" w:styleId="Heading8">
    <w:name w:val="heading 8"/>
    <w:basedOn w:val="Normal"/>
    <w:next w:val="Normal"/>
    <w:link w:val="Heading8Char"/>
    <w:qFormat/>
    <w:rsid w:val="000D476A"/>
    <w:pPr>
      <w:ind w:left="720"/>
      <w:outlineLvl w:val="7"/>
    </w:pPr>
    <w:rPr>
      <w:i/>
    </w:rPr>
  </w:style>
  <w:style w:type="paragraph" w:styleId="Heading9">
    <w:name w:val="heading 9"/>
    <w:basedOn w:val="Normal"/>
    <w:next w:val="Normal"/>
    <w:link w:val="Heading9Char"/>
    <w:qFormat/>
    <w:rsid w:val="000D476A"/>
    <w:pPr>
      <w:ind w:left="720"/>
      <w:outlineLvl w:val="8"/>
    </w:pPr>
    <w:rPr>
      <w:i/>
    </w:rPr>
  </w:style>
  <w:style w:type="character" w:default="1" w:styleId="DefaultParagraphFont">
    <w:name w:val="Default Paragraph Font"/>
    <w:uiPriority w:val="1"/>
    <w:unhideWhenUsed/>
    <w:rsid w:val="000D47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76A"/>
  </w:style>
  <w:style w:type="character" w:customStyle="1" w:styleId="Heading1Char">
    <w:name w:val="Heading 1 Char"/>
    <w:basedOn w:val="DefaultParagraphFont"/>
    <w:link w:val="Heading1"/>
    <w:rsid w:val="000D476A"/>
    <w:rPr>
      <w:rFonts w:ascii="Times New Roman" w:eastAsia="Times New Roman" w:hAnsi="Times New Roman" w:cs="Times New Roman"/>
      <w:b/>
      <w:sz w:val="32"/>
      <w:szCs w:val="20"/>
      <w:lang w:eastAsia="en-US"/>
    </w:rPr>
  </w:style>
  <w:style w:type="paragraph" w:styleId="BodyText">
    <w:name w:val="Body Text"/>
    <w:basedOn w:val="Normal"/>
    <w:link w:val="BodyTextChar"/>
    <w:rsid w:val="000D47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476A"/>
    <w:rPr>
      <w:rFonts w:ascii="Times New Roman" w:eastAsia="Times New Roman" w:hAnsi="Times New Roman" w:cs="Times New Roman"/>
      <w:sz w:val="24"/>
      <w:lang w:eastAsia="en-US"/>
    </w:rPr>
  </w:style>
  <w:style w:type="paragraph" w:styleId="ListBullet">
    <w:name w:val="List Bullet"/>
    <w:basedOn w:val="List"/>
    <w:rsid w:val="000D476A"/>
    <w:pPr>
      <w:numPr>
        <w:numId w:val="13"/>
      </w:numPr>
      <w:tabs>
        <w:tab w:val="clear" w:pos="340"/>
      </w:tabs>
      <w:spacing w:before="40" w:after="40"/>
    </w:pPr>
  </w:style>
  <w:style w:type="character" w:customStyle="1" w:styleId="SpecialBold">
    <w:name w:val="Special Bold"/>
    <w:basedOn w:val="DefaultParagraphFont"/>
    <w:rsid w:val="000D476A"/>
    <w:rPr>
      <w:b/>
      <w:spacing w:val="0"/>
    </w:rPr>
  </w:style>
  <w:style w:type="paragraph" w:styleId="ListBullet2">
    <w:name w:val="List Bullet 2"/>
    <w:basedOn w:val="List2"/>
    <w:rsid w:val="000D476A"/>
    <w:pPr>
      <w:numPr>
        <w:numId w:val="14"/>
      </w:numPr>
      <w:tabs>
        <w:tab w:val="clear" w:pos="680"/>
      </w:tabs>
    </w:pPr>
  </w:style>
  <w:style w:type="paragraph" w:customStyle="1" w:styleId="SuperHeading">
    <w:name w:val="SuperHeading"/>
    <w:basedOn w:val="Normal"/>
    <w:rsid w:val="000D476A"/>
    <w:pPr>
      <w:spacing w:before="240" w:after="120"/>
      <w:outlineLvl w:val="0"/>
    </w:pPr>
    <w:rPr>
      <w:rFonts w:ascii="Times New Roman" w:hAnsi="Times New Roman"/>
      <w:b/>
      <w:sz w:val="32"/>
    </w:rPr>
  </w:style>
  <w:style w:type="paragraph" w:customStyle="1" w:styleId="AllowPageBreak">
    <w:name w:val="AllowPageBreak"/>
    <w:rsid w:val="000D47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0D476A"/>
    <w:rPr>
      <w:rFonts w:ascii="Symbol" w:hAnsi="Symbol"/>
    </w:rPr>
  </w:style>
  <w:style w:type="character" w:customStyle="1" w:styleId="Heading2Char">
    <w:name w:val="Heading 2 Char"/>
    <w:basedOn w:val="DefaultParagraphFont"/>
    <w:link w:val="Heading2"/>
    <w:rsid w:val="000D47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7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7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7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7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7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7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76A"/>
    <w:rPr>
      <w:rFonts w:ascii="Courier New" w:eastAsia="Times New Roman" w:hAnsi="Courier New" w:cs="Times New Roman"/>
      <w:i/>
      <w:szCs w:val="20"/>
      <w:lang w:eastAsia="en-US"/>
    </w:rPr>
  </w:style>
  <w:style w:type="paragraph" w:customStyle="1" w:styleId="HeadingBase">
    <w:name w:val="Heading Base"/>
    <w:rsid w:val="000D47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76A"/>
    <w:pPr>
      <w:tabs>
        <w:tab w:val="right" w:leader="dot" w:pos="9072"/>
      </w:tabs>
      <w:ind w:left="567"/>
    </w:pPr>
    <w:rPr>
      <w:szCs w:val="22"/>
    </w:rPr>
  </w:style>
  <w:style w:type="paragraph" w:customStyle="1" w:styleId="TOCBase">
    <w:name w:val="TOC Base"/>
    <w:rsid w:val="000D47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76A"/>
    <w:pPr>
      <w:tabs>
        <w:tab w:val="right" w:leader="dot" w:pos="9072"/>
      </w:tabs>
      <w:spacing w:before="40" w:after="40"/>
      <w:ind w:left="284"/>
    </w:pPr>
    <w:rPr>
      <w:rFonts w:ascii="Times New Roman" w:hAnsi="Times New Roman"/>
    </w:rPr>
  </w:style>
  <w:style w:type="paragraph" w:styleId="TOC1">
    <w:name w:val="toc 1"/>
    <w:basedOn w:val="TOCBase"/>
    <w:next w:val="Normal"/>
    <w:rsid w:val="000D47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7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76A"/>
    <w:rPr>
      <w:rFonts w:ascii="Times New Roman" w:eastAsia="Times New Roman" w:hAnsi="Times New Roman" w:cs="Times New Roman"/>
      <w:sz w:val="16"/>
      <w:lang w:eastAsia="en-US"/>
    </w:rPr>
  </w:style>
  <w:style w:type="paragraph" w:styleId="Title">
    <w:name w:val="Title"/>
    <w:basedOn w:val="HeadingBase"/>
    <w:link w:val="TitleChar"/>
    <w:qFormat/>
    <w:rsid w:val="000D476A"/>
    <w:pPr>
      <w:spacing w:before="5040"/>
      <w:jc w:val="center"/>
    </w:pPr>
    <w:rPr>
      <w:sz w:val="48"/>
      <w:szCs w:val="72"/>
      <w:lang w:val="en-US"/>
    </w:rPr>
  </w:style>
  <w:style w:type="character" w:customStyle="1" w:styleId="TitleChar">
    <w:name w:val="Title Char"/>
    <w:basedOn w:val="DefaultParagraphFont"/>
    <w:link w:val="Title"/>
    <w:rsid w:val="000D47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76A"/>
    <w:pPr>
      <w:tabs>
        <w:tab w:val="left" w:pos="3600"/>
        <w:tab w:val="left" w:pos="3958"/>
      </w:tabs>
    </w:pPr>
  </w:style>
  <w:style w:type="paragraph" w:styleId="List">
    <w:name w:val="List"/>
    <w:basedOn w:val="BodyText"/>
    <w:next w:val="BodyText"/>
    <w:rsid w:val="000D476A"/>
    <w:pPr>
      <w:tabs>
        <w:tab w:val="left" w:pos="340"/>
      </w:tabs>
      <w:spacing w:before="60" w:after="60"/>
      <w:ind w:left="340" w:hanging="340"/>
    </w:pPr>
  </w:style>
  <w:style w:type="paragraph" w:customStyle="1" w:styleId="Note">
    <w:name w:val="Note"/>
    <w:basedOn w:val="BodyText"/>
    <w:rsid w:val="000D47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76A"/>
    <w:pPr>
      <w:framePr w:wrap="auto" w:hAnchor="text" w:y="6049"/>
    </w:pPr>
    <w:rPr>
      <w:color w:val="000000"/>
      <w:sz w:val="40"/>
    </w:rPr>
  </w:style>
  <w:style w:type="paragraph" w:customStyle="1" w:styleId="TOCTitle">
    <w:name w:val="TOCTitle"/>
    <w:basedOn w:val="Heading1"/>
    <w:rsid w:val="000D476A"/>
    <w:pPr>
      <w:spacing w:after="240"/>
      <w:jc w:val="center"/>
      <w:outlineLvl w:val="9"/>
    </w:pPr>
    <w:rPr>
      <w:caps/>
    </w:rPr>
  </w:style>
  <w:style w:type="paragraph" w:customStyle="1" w:styleId="Version">
    <w:name w:val="Version"/>
    <w:rsid w:val="000D47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76A"/>
    <w:pPr>
      <w:keepNext w:val="0"/>
      <w:tabs>
        <w:tab w:val="right" w:pos="4176"/>
      </w:tabs>
      <w:ind w:left="198" w:hanging="198"/>
    </w:pPr>
    <w:rPr>
      <w:rFonts w:ascii="Garamond" w:hAnsi="Garamond"/>
    </w:rPr>
  </w:style>
  <w:style w:type="paragraph" w:styleId="IndexHeading">
    <w:name w:val="index heading"/>
    <w:basedOn w:val="Normal"/>
    <w:next w:val="Index1"/>
    <w:semiHidden/>
    <w:rsid w:val="000D476A"/>
    <w:pPr>
      <w:spacing w:before="120" w:after="120"/>
    </w:pPr>
    <w:rPr>
      <w:rFonts w:ascii="Arial" w:hAnsi="Arial"/>
      <w:b/>
      <w:color w:val="918585"/>
      <w:sz w:val="24"/>
    </w:rPr>
  </w:style>
  <w:style w:type="paragraph" w:styleId="Header">
    <w:name w:val="header"/>
    <w:basedOn w:val="Normal"/>
    <w:link w:val="HeaderChar"/>
    <w:rsid w:val="000D47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76A"/>
    <w:rPr>
      <w:rFonts w:ascii="Times New Roman" w:eastAsia="Times New Roman" w:hAnsi="Times New Roman" w:cs="Times New Roman"/>
      <w:sz w:val="16"/>
      <w:szCs w:val="20"/>
      <w:lang w:val="en-GB" w:eastAsia="en-US"/>
    </w:rPr>
  </w:style>
  <w:style w:type="paragraph" w:customStyle="1" w:styleId="Chapter">
    <w:name w:val="Chapter"/>
    <w:basedOn w:val="Normal"/>
    <w:rsid w:val="000D476A"/>
    <w:pPr>
      <w:spacing w:before="240"/>
    </w:pPr>
    <w:rPr>
      <w:rFonts w:ascii="Times New Roman" w:hAnsi="Times New Roman"/>
      <w:smallCaps/>
      <w:spacing w:val="80"/>
      <w:sz w:val="28"/>
    </w:rPr>
  </w:style>
  <w:style w:type="paragraph" w:customStyle="1" w:styleId="InChapter">
    <w:name w:val="InChapter"/>
    <w:basedOn w:val="Heading3"/>
    <w:rsid w:val="000D476A"/>
    <w:pPr>
      <w:spacing w:after="240"/>
      <w:outlineLvl w:val="9"/>
    </w:pPr>
    <w:rPr>
      <w:noProof/>
    </w:rPr>
  </w:style>
  <w:style w:type="paragraph" w:styleId="Index2">
    <w:name w:val="index 2"/>
    <w:basedOn w:val="Normal"/>
    <w:next w:val="Normal"/>
    <w:semiHidden/>
    <w:rsid w:val="000D476A"/>
    <w:pPr>
      <w:tabs>
        <w:tab w:val="right" w:pos="4176"/>
      </w:tabs>
      <w:ind w:left="568" w:hanging="284"/>
    </w:pPr>
    <w:rPr>
      <w:rFonts w:ascii="Garamond" w:hAnsi="Garamond"/>
    </w:rPr>
  </w:style>
  <w:style w:type="paragraph" w:customStyle="1" w:styleId="Byline">
    <w:name w:val="Byline"/>
    <w:rsid w:val="000D47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76A"/>
    <w:pPr>
      <w:tabs>
        <w:tab w:val="clear" w:pos="3600"/>
        <w:tab w:val="clear" w:pos="3958"/>
      </w:tabs>
      <w:jc w:val="right"/>
    </w:pPr>
  </w:style>
  <w:style w:type="character" w:styleId="Emphasis">
    <w:name w:val="Emphasis"/>
    <w:basedOn w:val="DefaultParagraphFont"/>
    <w:qFormat/>
    <w:rsid w:val="000D476A"/>
    <w:rPr>
      <w:i/>
    </w:rPr>
  </w:style>
  <w:style w:type="paragraph" w:styleId="Caption">
    <w:name w:val="caption"/>
    <w:basedOn w:val="BodyText"/>
    <w:next w:val="Normal"/>
    <w:qFormat/>
    <w:rsid w:val="000D476A"/>
    <w:pPr>
      <w:framePr w:w="2268" w:hSpace="181" w:vSpace="181" w:wrap="around" w:vAnchor="text" w:hAnchor="page" w:x="1135" w:y="285" w:anchorLock="1"/>
    </w:pPr>
    <w:rPr>
      <w:i/>
    </w:rPr>
  </w:style>
  <w:style w:type="paragraph" w:customStyle="1" w:styleId="MiniTOCTitle">
    <w:name w:val="MiniTOCTitle"/>
    <w:basedOn w:val="Heading4"/>
    <w:rsid w:val="000D476A"/>
    <w:pPr>
      <w:spacing w:before="240"/>
      <w:outlineLvl w:val="9"/>
    </w:pPr>
    <w:rPr>
      <w:noProof/>
      <w:sz w:val="24"/>
    </w:rPr>
  </w:style>
  <w:style w:type="paragraph" w:customStyle="1" w:styleId="MiniTOCItem">
    <w:name w:val="MiniTOCItem"/>
    <w:basedOn w:val="ListBullet"/>
    <w:rsid w:val="000D476A"/>
    <w:pPr>
      <w:numPr>
        <w:numId w:val="0"/>
      </w:numPr>
      <w:tabs>
        <w:tab w:val="right" w:leader="dot" w:pos="6521"/>
      </w:tabs>
      <w:spacing w:before="0" w:after="0"/>
    </w:pPr>
  </w:style>
  <w:style w:type="paragraph" w:customStyle="1" w:styleId="TOFTitle">
    <w:name w:val="TOFTitle"/>
    <w:basedOn w:val="TOCTitle"/>
    <w:rsid w:val="000D476A"/>
  </w:style>
  <w:style w:type="paragraph" w:styleId="TableofFigures">
    <w:name w:val="table of figures"/>
    <w:basedOn w:val="Normal"/>
    <w:next w:val="Normal"/>
    <w:semiHidden/>
    <w:rsid w:val="000D476A"/>
    <w:pPr>
      <w:tabs>
        <w:tab w:val="right" w:leader="dot" w:pos="9072"/>
      </w:tabs>
      <w:ind w:left="970" w:hanging="403"/>
    </w:pPr>
    <w:rPr>
      <w:rFonts w:ascii="Times New Roman" w:hAnsi="Times New Roman"/>
      <w:b/>
    </w:rPr>
  </w:style>
  <w:style w:type="paragraph" w:styleId="ListNumber">
    <w:name w:val="List Number"/>
    <w:basedOn w:val="List"/>
    <w:rsid w:val="000D476A"/>
    <w:pPr>
      <w:numPr>
        <w:numId w:val="11"/>
      </w:numPr>
    </w:pPr>
  </w:style>
  <w:style w:type="character" w:customStyle="1" w:styleId="WingdingSymbols">
    <w:name w:val="Wingding Symbols"/>
    <w:rsid w:val="000D476A"/>
    <w:rPr>
      <w:rFonts w:ascii="Wingdings" w:hAnsi="Wingdings"/>
    </w:rPr>
  </w:style>
  <w:style w:type="paragraph" w:customStyle="1" w:styleId="TableHeading">
    <w:name w:val="Table Heading"/>
    <w:basedOn w:val="HeadingBase"/>
    <w:rsid w:val="000D476A"/>
    <w:pPr>
      <w:keepLines/>
      <w:pBdr>
        <w:bottom w:val="single" w:sz="6" w:space="1" w:color="918585"/>
      </w:pBdr>
      <w:spacing w:before="240"/>
    </w:pPr>
  </w:style>
  <w:style w:type="character" w:customStyle="1" w:styleId="HotSpot">
    <w:name w:val="HotSpot"/>
    <w:rsid w:val="000D476A"/>
    <w:rPr>
      <w:color w:val="0033CC"/>
      <w:u w:val="none"/>
    </w:rPr>
  </w:style>
  <w:style w:type="paragraph" w:customStyle="1" w:styleId="BodyTextRight">
    <w:name w:val="Body Text Right"/>
    <w:basedOn w:val="BodyText"/>
    <w:rsid w:val="000D476A"/>
    <w:pPr>
      <w:spacing w:before="0" w:after="0"/>
      <w:jc w:val="right"/>
    </w:pPr>
  </w:style>
  <w:style w:type="paragraph" w:styleId="Index3">
    <w:name w:val="index 3"/>
    <w:basedOn w:val="ListNumber2"/>
    <w:next w:val="Normal"/>
    <w:semiHidden/>
    <w:rsid w:val="000D476A"/>
    <w:pPr>
      <w:numPr>
        <w:numId w:val="0"/>
      </w:numPr>
      <w:tabs>
        <w:tab w:val="right" w:leader="dot" w:pos="4176"/>
      </w:tabs>
    </w:pPr>
  </w:style>
  <w:style w:type="paragraph" w:styleId="ListNumber2">
    <w:name w:val="List Number 2"/>
    <w:basedOn w:val="List2"/>
    <w:rsid w:val="000D476A"/>
    <w:pPr>
      <w:numPr>
        <w:numId w:val="10"/>
      </w:numPr>
      <w:tabs>
        <w:tab w:val="clear" w:pos="1060"/>
      </w:tabs>
    </w:pPr>
  </w:style>
  <w:style w:type="paragraph" w:customStyle="1" w:styleId="MarginNote">
    <w:name w:val="Margin Note"/>
    <w:basedOn w:val="BodyText"/>
    <w:rsid w:val="000D47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7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7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76A"/>
    <w:rPr>
      <w:sz w:val="32"/>
    </w:rPr>
  </w:style>
  <w:style w:type="paragraph" w:customStyle="1" w:styleId="HeadingProcedure">
    <w:name w:val="Heading Procedure"/>
    <w:basedOn w:val="HeadingBase"/>
    <w:next w:val="Normal"/>
    <w:rsid w:val="000D476A"/>
    <w:pPr>
      <w:tabs>
        <w:tab w:val="left" w:pos="0"/>
      </w:tabs>
      <w:spacing w:before="120" w:after="60"/>
    </w:pPr>
    <w:rPr>
      <w:i/>
      <w:color w:val="918585"/>
      <w:sz w:val="22"/>
    </w:rPr>
  </w:style>
  <w:style w:type="paragraph" w:customStyle="1" w:styleId="TableBodyText">
    <w:name w:val="Table Body Text"/>
    <w:basedOn w:val="BodyText"/>
    <w:rsid w:val="000D476A"/>
    <w:pPr>
      <w:spacing w:before="60" w:after="60"/>
    </w:pPr>
  </w:style>
  <w:style w:type="paragraph" w:styleId="ListContinue">
    <w:name w:val="List Continue"/>
    <w:basedOn w:val="List"/>
    <w:rsid w:val="000D476A"/>
    <w:pPr>
      <w:ind w:firstLine="0"/>
    </w:pPr>
  </w:style>
  <w:style w:type="paragraph" w:customStyle="1" w:styleId="ListNote">
    <w:name w:val="List Note"/>
    <w:basedOn w:val="List"/>
    <w:rsid w:val="000D476A"/>
    <w:pPr>
      <w:pBdr>
        <w:top w:val="single" w:sz="6" w:space="2" w:color="918585"/>
        <w:bottom w:val="single" w:sz="6" w:space="2" w:color="918585"/>
      </w:pBdr>
      <w:tabs>
        <w:tab w:val="left" w:pos="1021"/>
      </w:tabs>
      <w:ind w:firstLine="0"/>
    </w:pPr>
  </w:style>
  <w:style w:type="paragraph" w:customStyle="1" w:styleId="Warning">
    <w:name w:val="Warning"/>
    <w:basedOn w:val="BodyText"/>
    <w:rsid w:val="000D476A"/>
    <w:pPr>
      <w:shd w:val="clear" w:color="auto" w:fill="D9D9D9"/>
      <w:tabs>
        <w:tab w:val="left" w:pos="992"/>
      </w:tabs>
      <w:ind w:left="119" w:right="119"/>
    </w:pPr>
    <w:rPr>
      <w:sz w:val="20"/>
    </w:rPr>
  </w:style>
  <w:style w:type="paragraph" w:customStyle="1" w:styleId="MarginIcons">
    <w:name w:val="Margin Icons"/>
    <w:basedOn w:val="BodyText"/>
    <w:rsid w:val="000D47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76A"/>
    <w:rPr>
      <w:rFonts w:ascii="Courier New" w:hAnsi="Courier New"/>
    </w:rPr>
  </w:style>
  <w:style w:type="paragraph" w:customStyle="1" w:styleId="NoteBullet">
    <w:name w:val="Note Bullet"/>
    <w:basedOn w:val="Note"/>
    <w:rsid w:val="000D476A"/>
    <w:pPr>
      <w:tabs>
        <w:tab w:val="clear" w:pos="680"/>
      </w:tabs>
      <w:spacing w:before="60" w:after="60"/>
    </w:pPr>
  </w:style>
  <w:style w:type="paragraph" w:customStyle="1" w:styleId="SubHeading2">
    <w:name w:val="SubHeading2"/>
    <w:basedOn w:val="HeadingBase"/>
    <w:rsid w:val="000D476A"/>
    <w:pPr>
      <w:spacing w:before="240" w:after="60"/>
    </w:pPr>
    <w:rPr>
      <w:sz w:val="20"/>
    </w:rPr>
  </w:style>
  <w:style w:type="paragraph" w:customStyle="1" w:styleId="SubHeading1">
    <w:name w:val="SubHeading1"/>
    <w:basedOn w:val="HeadingBase"/>
    <w:rsid w:val="000D476A"/>
    <w:pPr>
      <w:spacing w:before="240" w:after="60"/>
    </w:pPr>
    <w:rPr>
      <w:color w:val="918585"/>
      <w:sz w:val="22"/>
    </w:rPr>
  </w:style>
  <w:style w:type="paragraph" w:customStyle="1" w:styleId="SideHeading">
    <w:name w:val="Side Heading"/>
    <w:basedOn w:val="HeadingBase"/>
    <w:rsid w:val="000D47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76A"/>
    <w:pPr>
      <w:numPr>
        <w:numId w:val="12"/>
      </w:numPr>
    </w:pPr>
  </w:style>
  <w:style w:type="paragraph" w:styleId="PlainText">
    <w:name w:val="Plain Text"/>
    <w:basedOn w:val="Normal"/>
    <w:link w:val="PlainTextChar"/>
    <w:rsid w:val="000D476A"/>
    <w:rPr>
      <w:sz w:val="20"/>
    </w:rPr>
  </w:style>
  <w:style w:type="character" w:customStyle="1" w:styleId="PlainTextChar">
    <w:name w:val="Plain Text Char"/>
    <w:basedOn w:val="DefaultParagraphFont"/>
    <w:link w:val="PlainText"/>
    <w:rsid w:val="000D476A"/>
    <w:rPr>
      <w:rFonts w:ascii="Courier New" w:eastAsia="Times New Roman" w:hAnsi="Courier New" w:cs="Times New Roman"/>
      <w:sz w:val="20"/>
      <w:szCs w:val="20"/>
      <w:lang w:eastAsia="en-US"/>
    </w:rPr>
  </w:style>
  <w:style w:type="character" w:customStyle="1" w:styleId="MenuOption">
    <w:name w:val="Menu Option"/>
    <w:basedOn w:val="DefaultParagraphFont"/>
    <w:rsid w:val="000D476A"/>
    <w:rPr>
      <w:b/>
      <w:smallCaps/>
    </w:rPr>
  </w:style>
  <w:style w:type="paragraph" w:customStyle="1" w:styleId="TableListNumber">
    <w:name w:val="Table List Number"/>
    <w:basedOn w:val="ListNumber"/>
    <w:rsid w:val="000D476A"/>
    <w:pPr>
      <w:numPr>
        <w:numId w:val="0"/>
      </w:numPr>
    </w:pPr>
  </w:style>
  <w:style w:type="paragraph" w:styleId="TOC4">
    <w:name w:val="toc 4"/>
    <w:basedOn w:val="TOCBase"/>
    <w:next w:val="Normal"/>
    <w:semiHidden/>
    <w:rsid w:val="000D476A"/>
    <w:pPr>
      <w:tabs>
        <w:tab w:val="right" w:leader="dot" w:pos="9071"/>
      </w:tabs>
      <w:ind w:left="1701"/>
    </w:pPr>
  </w:style>
  <w:style w:type="paragraph" w:customStyle="1" w:styleId="ListAlpha">
    <w:name w:val="List Alpha"/>
    <w:basedOn w:val="List"/>
    <w:rsid w:val="000D476A"/>
    <w:pPr>
      <w:numPr>
        <w:numId w:val="9"/>
      </w:numPr>
    </w:pPr>
  </w:style>
  <w:style w:type="paragraph" w:customStyle="1" w:styleId="ListAlpha2">
    <w:name w:val="List Alpha 2"/>
    <w:basedOn w:val="List2"/>
    <w:rsid w:val="000D476A"/>
    <w:pPr>
      <w:numPr>
        <w:numId w:val="8"/>
      </w:numPr>
    </w:pPr>
  </w:style>
  <w:style w:type="paragraph" w:styleId="List2">
    <w:name w:val="List 2"/>
    <w:basedOn w:val="BodyText"/>
    <w:rsid w:val="000D476A"/>
    <w:pPr>
      <w:tabs>
        <w:tab w:val="left" w:pos="680"/>
      </w:tabs>
      <w:spacing w:before="60" w:after="60"/>
      <w:ind w:left="680" w:hanging="340"/>
    </w:pPr>
  </w:style>
  <w:style w:type="paragraph" w:styleId="List3">
    <w:name w:val="List 3"/>
    <w:basedOn w:val="BodyText"/>
    <w:rsid w:val="000D476A"/>
    <w:pPr>
      <w:tabs>
        <w:tab w:val="left" w:pos="1021"/>
      </w:tabs>
      <w:spacing w:before="60" w:after="60"/>
      <w:ind w:left="1020" w:hanging="340"/>
    </w:pPr>
  </w:style>
  <w:style w:type="paragraph" w:styleId="List4">
    <w:name w:val="List 4"/>
    <w:basedOn w:val="BodyText"/>
    <w:rsid w:val="000D476A"/>
    <w:pPr>
      <w:tabs>
        <w:tab w:val="left" w:pos="1361"/>
      </w:tabs>
      <w:spacing w:before="60" w:after="60"/>
      <w:ind w:left="1361" w:hanging="340"/>
    </w:pPr>
  </w:style>
  <w:style w:type="paragraph" w:styleId="List5">
    <w:name w:val="List 5"/>
    <w:basedOn w:val="BodyText"/>
    <w:rsid w:val="000D476A"/>
    <w:pPr>
      <w:tabs>
        <w:tab w:val="left" w:pos="1701"/>
      </w:tabs>
      <w:spacing w:before="60" w:after="60"/>
      <w:ind w:left="1701" w:hanging="340"/>
    </w:pPr>
  </w:style>
  <w:style w:type="paragraph" w:styleId="ListBullet3">
    <w:name w:val="List Bullet 3"/>
    <w:basedOn w:val="List3"/>
    <w:rsid w:val="000D476A"/>
    <w:pPr>
      <w:numPr>
        <w:numId w:val="15"/>
      </w:numPr>
      <w:tabs>
        <w:tab w:val="clear" w:pos="1021"/>
      </w:tabs>
      <w:ind w:left="1037" w:hanging="357"/>
    </w:pPr>
  </w:style>
  <w:style w:type="paragraph" w:styleId="ListBullet4">
    <w:name w:val="List Bullet 4"/>
    <w:basedOn w:val="List4"/>
    <w:rsid w:val="000D476A"/>
    <w:pPr>
      <w:numPr>
        <w:numId w:val="3"/>
      </w:numPr>
      <w:tabs>
        <w:tab w:val="clear" w:pos="1361"/>
      </w:tabs>
    </w:pPr>
  </w:style>
  <w:style w:type="paragraph" w:styleId="ListBullet5">
    <w:name w:val="List Bullet 5"/>
    <w:basedOn w:val="List5"/>
    <w:rsid w:val="000D476A"/>
    <w:pPr>
      <w:numPr>
        <w:numId w:val="4"/>
      </w:numPr>
    </w:pPr>
  </w:style>
  <w:style w:type="paragraph" w:styleId="ListContinue2">
    <w:name w:val="List Continue 2"/>
    <w:basedOn w:val="List2"/>
    <w:rsid w:val="000D476A"/>
    <w:pPr>
      <w:ind w:firstLine="0"/>
    </w:pPr>
  </w:style>
  <w:style w:type="paragraph" w:styleId="ListContinue3">
    <w:name w:val="List Continue 3"/>
    <w:basedOn w:val="List3"/>
    <w:rsid w:val="000D476A"/>
    <w:pPr>
      <w:ind w:left="1021" w:firstLine="0"/>
    </w:pPr>
  </w:style>
  <w:style w:type="paragraph" w:styleId="ListContinue4">
    <w:name w:val="List Continue 4"/>
    <w:basedOn w:val="List4"/>
    <w:rsid w:val="000D476A"/>
    <w:pPr>
      <w:ind w:firstLine="0"/>
    </w:pPr>
  </w:style>
  <w:style w:type="paragraph" w:styleId="ListContinue5">
    <w:name w:val="List Continue 5"/>
    <w:basedOn w:val="List5"/>
    <w:rsid w:val="000D476A"/>
    <w:pPr>
      <w:ind w:firstLine="0"/>
    </w:pPr>
  </w:style>
  <w:style w:type="paragraph" w:styleId="ListNumber3">
    <w:name w:val="List Number 3"/>
    <w:basedOn w:val="List3"/>
    <w:rsid w:val="000D476A"/>
    <w:pPr>
      <w:numPr>
        <w:numId w:val="5"/>
      </w:numPr>
    </w:pPr>
  </w:style>
  <w:style w:type="paragraph" w:styleId="ListNumber4">
    <w:name w:val="List Number 4"/>
    <w:basedOn w:val="List4"/>
    <w:rsid w:val="000D476A"/>
    <w:pPr>
      <w:numPr>
        <w:numId w:val="6"/>
      </w:numPr>
    </w:pPr>
  </w:style>
  <w:style w:type="paragraph" w:styleId="ListNumber5">
    <w:name w:val="List Number 5"/>
    <w:basedOn w:val="List5"/>
    <w:rsid w:val="000D476A"/>
    <w:pPr>
      <w:numPr>
        <w:numId w:val="7"/>
      </w:numPr>
    </w:pPr>
  </w:style>
  <w:style w:type="paragraph" w:styleId="BlockText">
    <w:name w:val="Block Text"/>
    <w:basedOn w:val="Normal"/>
    <w:rsid w:val="000D476A"/>
    <w:pPr>
      <w:spacing w:after="120"/>
      <w:ind w:left="1440" w:right="1440"/>
    </w:pPr>
  </w:style>
  <w:style w:type="character" w:customStyle="1" w:styleId="Subscript">
    <w:name w:val="Subscript"/>
    <w:basedOn w:val="DefaultParagraphFont"/>
    <w:rsid w:val="000D476A"/>
    <w:rPr>
      <w:sz w:val="16"/>
      <w:vertAlign w:val="subscript"/>
    </w:rPr>
  </w:style>
  <w:style w:type="character" w:customStyle="1" w:styleId="Superscript">
    <w:name w:val="Superscript"/>
    <w:basedOn w:val="DefaultParagraphFont"/>
    <w:rsid w:val="000D476A"/>
    <w:rPr>
      <w:sz w:val="16"/>
      <w:vertAlign w:val="superscript"/>
    </w:rPr>
  </w:style>
  <w:style w:type="character" w:customStyle="1" w:styleId="MenuOptions">
    <w:name w:val="Menu Options"/>
    <w:basedOn w:val="DefaultParagraphFont"/>
    <w:rsid w:val="000D476A"/>
    <w:rPr>
      <w:rFonts w:ascii="Arial Narrow" w:hAnsi="Arial Narrow"/>
      <w:smallCaps/>
    </w:rPr>
  </w:style>
  <w:style w:type="character" w:customStyle="1" w:styleId="Buttons">
    <w:name w:val="Buttons"/>
    <w:basedOn w:val="DefaultParagraphFont"/>
    <w:rsid w:val="000D476A"/>
    <w:rPr>
      <w:b/>
    </w:rPr>
  </w:style>
  <w:style w:type="character" w:customStyle="1" w:styleId="Underlined">
    <w:name w:val="Underlined"/>
    <w:basedOn w:val="DefaultParagraphFont"/>
    <w:rsid w:val="000D476A"/>
    <w:rPr>
      <w:u w:val="single"/>
    </w:rPr>
  </w:style>
  <w:style w:type="paragraph" w:customStyle="1" w:styleId="TableBodyTextRight">
    <w:name w:val="Table Body Text Right"/>
    <w:basedOn w:val="TableBodyText"/>
    <w:rsid w:val="000D476A"/>
    <w:pPr>
      <w:widowControl w:val="0"/>
      <w:autoSpaceDE w:val="0"/>
      <w:autoSpaceDN w:val="0"/>
      <w:adjustRightInd w:val="0"/>
      <w:jc w:val="right"/>
    </w:pPr>
    <w:rPr>
      <w:rFonts w:cs="Arial"/>
      <w:szCs w:val="18"/>
    </w:rPr>
  </w:style>
  <w:style w:type="paragraph" w:customStyle="1" w:styleId="CopyrightText">
    <w:name w:val="Copyright Text"/>
    <w:basedOn w:val="BodyText"/>
    <w:rsid w:val="000D476A"/>
    <w:rPr>
      <w:sz w:val="18"/>
    </w:rPr>
  </w:style>
  <w:style w:type="paragraph" w:customStyle="1" w:styleId="BodySmallRight">
    <w:name w:val="Body Small Right"/>
    <w:basedOn w:val="BodyTextRight"/>
    <w:rsid w:val="000D476A"/>
    <w:rPr>
      <w:sz w:val="18"/>
      <w:szCs w:val="18"/>
    </w:rPr>
  </w:style>
  <w:style w:type="paragraph" w:customStyle="1" w:styleId="MarginEdition">
    <w:name w:val="Margin Edition"/>
    <w:basedOn w:val="MarginNote"/>
    <w:rsid w:val="000D476A"/>
    <w:pPr>
      <w:spacing w:before="0" w:after="0"/>
    </w:pPr>
    <w:rPr>
      <w:rFonts w:ascii="Times New Roman" w:hAnsi="Times New Roman"/>
      <w:color w:val="999999"/>
    </w:rPr>
  </w:style>
  <w:style w:type="paragraph" w:customStyle="1" w:styleId="Spacer">
    <w:name w:val="Spacer"/>
    <w:basedOn w:val="Normal"/>
    <w:rsid w:val="000D476A"/>
    <w:rPr>
      <w:sz w:val="2"/>
      <w:szCs w:val="2"/>
    </w:rPr>
  </w:style>
  <w:style w:type="character" w:customStyle="1" w:styleId="Small">
    <w:name w:val="Small"/>
    <w:basedOn w:val="DefaultParagraphFont"/>
    <w:rsid w:val="000D476A"/>
    <w:rPr>
      <w:sz w:val="16"/>
    </w:rPr>
  </w:style>
  <w:style w:type="paragraph" w:customStyle="1" w:styleId="WideTable">
    <w:name w:val="Wide Table"/>
    <w:basedOn w:val="Normal"/>
    <w:rsid w:val="000D476A"/>
    <w:pPr>
      <w:ind w:left="-1418"/>
    </w:pPr>
    <w:rPr>
      <w:sz w:val="2"/>
      <w:szCs w:val="2"/>
    </w:rPr>
  </w:style>
  <w:style w:type="character" w:styleId="PageNumber">
    <w:name w:val="page number"/>
    <w:basedOn w:val="DefaultParagraphFont"/>
    <w:rsid w:val="000D476A"/>
  </w:style>
  <w:style w:type="paragraph" w:styleId="Quote">
    <w:name w:val="Quote"/>
    <w:basedOn w:val="Heading1"/>
    <w:link w:val="QuoteChar"/>
    <w:qFormat/>
    <w:rsid w:val="000D476A"/>
    <w:rPr>
      <w:b w:val="0"/>
      <w:sz w:val="72"/>
      <w:szCs w:val="72"/>
      <w:lang w:val="en-NZ"/>
    </w:rPr>
  </w:style>
  <w:style w:type="character" w:customStyle="1" w:styleId="QuoteChar">
    <w:name w:val="Quote Char"/>
    <w:basedOn w:val="DefaultParagraphFont"/>
    <w:link w:val="Quote"/>
    <w:rsid w:val="000D47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76A"/>
    <w:pPr>
      <w:pageBreakBefore/>
    </w:pPr>
  </w:style>
  <w:style w:type="paragraph" w:customStyle="1" w:styleId="Border">
    <w:name w:val="Border"/>
    <w:basedOn w:val="Normal"/>
    <w:qFormat/>
    <w:rsid w:val="000D47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76A"/>
    <w:rPr>
      <w:b/>
      <w:bCs/>
      <w:i/>
      <w:iCs/>
      <w:color w:val="auto"/>
    </w:rPr>
  </w:style>
  <w:style w:type="paragraph" w:styleId="IntenseQuote">
    <w:name w:val="Intense Quote"/>
    <w:basedOn w:val="Normal"/>
    <w:next w:val="Normal"/>
    <w:link w:val="IntenseQuoteChar"/>
    <w:uiPriority w:val="30"/>
    <w:qFormat/>
    <w:rsid w:val="000D47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7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76A"/>
    <w:rPr>
      <w:smallCaps/>
      <w:color w:val="auto"/>
      <w:u w:val="single"/>
    </w:rPr>
  </w:style>
  <w:style w:type="character" w:styleId="IntenseReference">
    <w:name w:val="Intense Reference"/>
    <w:basedOn w:val="DefaultParagraphFont"/>
    <w:uiPriority w:val="32"/>
    <w:qFormat/>
    <w:rsid w:val="000D476A"/>
    <w:rPr>
      <w:b/>
      <w:bCs/>
      <w:smallCaps/>
      <w:color w:val="auto"/>
      <w:spacing w:val="5"/>
      <w:u w:val="single"/>
    </w:rPr>
  </w:style>
  <w:style w:type="paragraph" w:customStyle="1" w:styleId="2ColumnHeading">
    <w:name w:val="2Column Heading"/>
    <w:basedOn w:val="BodyText"/>
    <w:qFormat/>
    <w:rsid w:val="000D476A"/>
    <w:pPr>
      <w:spacing w:after="60"/>
      <w:ind w:left="-2268"/>
    </w:pPr>
    <w:rPr>
      <w:b/>
    </w:rPr>
  </w:style>
  <w:style w:type="paragraph" w:customStyle="1" w:styleId="Heading1TOC">
    <w:name w:val="Heading1 TOC"/>
    <w:basedOn w:val="Normal"/>
    <w:qFormat/>
    <w:rsid w:val="000D476A"/>
    <w:pPr>
      <w:spacing w:before="240" w:after="120"/>
    </w:pPr>
    <w:rPr>
      <w:rFonts w:ascii="Times New Roman" w:hAnsi="Times New Roman"/>
      <w:b/>
      <w:sz w:val="32"/>
    </w:rPr>
  </w:style>
  <w:style w:type="paragraph" w:customStyle="1" w:styleId="Heading2TOC">
    <w:name w:val="Heading2 TOC"/>
    <w:basedOn w:val="Normal"/>
    <w:qFormat/>
    <w:rsid w:val="000D476A"/>
    <w:pPr>
      <w:spacing w:before="240" w:after="60"/>
    </w:pPr>
    <w:rPr>
      <w:rFonts w:ascii="Times New Roman" w:hAnsi="Times New Roman"/>
      <w:b/>
      <w:sz w:val="28"/>
    </w:rPr>
  </w:style>
  <w:style w:type="character" w:customStyle="1" w:styleId="Underline">
    <w:name w:val="Underline"/>
    <w:basedOn w:val="DefaultParagraphFont"/>
    <w:qFormat/>
    <w:rsid w:val="000D476A"/>
    <w:rPr>
      <w:u w:val="single"/>
    </w:rPr>
  </w:style>
  <w:style w:type="character" w:customStyle="1" w:styleId="BoldandItalics">
    <w:name w:val="Bold and Italics"/>
    <w:qFormat/>
    <w:rsid w:val="000D476A"/>
    <w:rPr>
      <w:b/>
      <w:i/>
      <w:u w:val="none"/>
    </w:rPr>
  </w:style>
  <w:style w:type="paragraph" w:styleId="BalloonText">
    <w:name w:val="Balloon Text"/>
    <w:basedOn w:val="Normal"/>
    <w:link w:val="BalloonTextChar"/>
    <w:rsid w:val="000D476A"/>
    <w:rPr>
      <w:rFonts w:ascii="Tahoma" w:hAnsi="Tahoma" w:cs="Tahoma"/>
      <w:sz w:val="16"/>
      <w:szCs w:val="16"/>
    </w:rPr>
  </w:style>
  <w:style w:type="character" w:customStyle="1" w:styleId="BalloonTextChar">
    <w:name w:val="Balloon Text Char"/>
    <w:basedOn w:val="DefaultParagraphFont"/>
    <w:link w:val="BalloonText"/>
    <w:rsid w:val="000D47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7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47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76A"/>
    <w:rPr>
      <w:b/>
      <w:color w:val="660033"/>
      <w:spacing w:val="0"/>
    </w:rPr>
  </w:style>
  <w:style w:type="paragraph" w:customStyle="1" w:styleId="Nameditemlist">
    <w:name w:val="Named item list"/>
    <w:basedOn w:val="BodyText"/>
    <w:qFormat/>
    <w:rsid w:val="000D47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1224</Words>
  <Characters>7944</Characters>
  <Application>Microsoft Office Word</Application>
  <DocSecurity>0</DocSecurity>
  <Lines>297</Lines>
  <Paragraphs>158</Paragraphs>
  <ScaleCrop>false</ScaleCrop>
  <Company>Author-it Software Corporation Ltd.</Company>
  <LinksUpToDate>false</LinksUpToDate>
  <CharactersWithSpaces>9086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MSL975024 Locate, record and collect forensic samples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2016-03-01T06:31:00Z</dcterms:created>
  <dcterms:modified xsi:type="dcterms:W3CDTF">2016-03-01T06:31:00Z</dcterms:modified>
</cp:coreProperties>
</file>