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BAB" w:rsidP="00022B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MSL975021 Apply routine electrometric techniques</w:t>
      </w:r>
      <w:r>
        <w:fldChar w:fldCharType="end"/>
      </w:r>
    </w:p>
    <w:p w:rsidR="00022BAB" w:rsidP="00022BAB">
      <w:pPr>
        <w:pStyle w:val="Version"/>
        <w:sectPr w:rsidSect="009570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05E" w:rsidP="0095705E">
      <w:pPr>
        <w:pStyle w:val="SuperHeading"/>
      </w:pPr>
      <w:r w:rsidRPr="0095705E">
        <w:t>Assessment Requirements for MSL975021 Apply routine electrometric techniques</w:t>
      </w:r>
    </w:p>
    <w:p w:rsidR="00000000" w:rsidRPr="0095705E" w:rsidP="0095705E">
      <w:pPr>
        <w:pStyle w:val="Heading1"/>
      </w:pPr>
      <w:bookmarkStart w:id="1" w:name="O_901910"/>
      <w:bookmarkEnd w:id="1"/>
      <w:r w:rsidRPr="0095705E">
        <w:t>Modification History</w:t>
      </w:r>
    </w:p>
    <w:p w:rsidR="00000000" w:rsidRPr="0095705E" w:rsidP="0095705E">
      <w:pPr>
        <w:pStyle w:val="BodyText"/>
      </w:pPr>
      <w:r w:rsidRPr="0095705E">
        <w:t xml:space="preserve">Release 1. Supersedes and is equivalent to MSL975021A Apply routine electrometric techniques  </w:t>
      </w:r>
    </w:p>
    <w:p w:rsidR="00000000" w:rsidRPr="0095705E" w:rsidP="0095705E">
      <w:pPr>
        <w:pStyle w:val="AllowPageBreak"/>
      </w:pPr>
    </w:p>
    <w:p w:rsidR="00000000" w:rsidRPr="0095705E" w:rsidP="0095705E">
      <w:pPr>
        <w:pStyle w:val="Heading1"/>
      </w:pPr>
      <w:bookmarkStart w:id="2" w:name="O_901913"/>
      <w:bookmarkEnd w:id="2"/>
      <w:r w:rsidRPr="0095705E">
        <w:t>Performance Evidence</w:t>
      </w:r>
    </w:p>
    <w:p w:rsidR="00000000" w:rsidRPr="0095705E" w:rsidP="0095705E">
      <w:pPr>
        <w:pStyle w:val="BodyText"/>
      </w:pPr>
      <w:r w:rsidRPr="0095705E">
        <w:t>Evidence of competence in this unit must satisfy all of the requirements of the elements and performance criteria, and include demonstration of:</w:t>
      </w:r>
    </w:p>
    <w:p w:rsidR="00000000" w:rsidRPr="0095705E" w:rsidP="0095705E">
      <w:pPr>
        <w:pStyle w:val="ListBullet"/>
      </w:pPr>
      <w:r w:rsidRPr="0095705E">
        <w:t>applying routine electrometric techniques on at least three (3) occasions to obtain valid and reliable data</w:t>
      </w:r>
    </w:p>
    <w:p w:rsidR="00000000" w:rsidRPr="0095705E" w:rsidP="0095705E">
      <w:pPr>
        <w:pStyle w:val="ListBullet"/>
      </w:pPr>
      <w:r w:rsidRPr="0095705E">
        <w:t>ac</w:t>
      </w:r>
      <w:r w:rsidRPr="0095705E">
        <w:t>curately interpreting client requests and test methods/procedures</w:t>
      </w:r>
    </w:p>
    <w:p w:rsidR="00000000" w:rsidRPr="0095705E" w:rsidP="0095705E">
      <w:pPr>
        <w:pStyle w:val="ListBullet"/>
      </w:pPr>
      <w:r w:rsidRPr="0095705E">
        <w:t>establishing client needs for routine and non-routine samples</w:t>
      </w:r>
    </w:p>
    <w:p w:rsidR="00000000" w:rsidRPr="0095705E" w:rsidP="0095705E">
      <w:pPr>
        <w:pStyle w:val="ListBullet"/>
      </w:pPr>
      <w:r w:rsidRPr="0095705E">
        <w:t>preparing samples using at least three (3) different processes</w:t>
      </w:r>
    </w:p>
    <w:p w:rsidR="00000000" w:rsidRPr="0095705E" w:rsidP="0095705E">
      <w:pPr>
        <w:pStyle w:val="ListBullet"/>
      </w:pPr>
      <w:r w:rsidRPr="0095705E">
        <w:t>safely setting up, operating and shutting down equipment</w:t>
      </w:r>
    </w:p>
    <w:p w:rsidR="00000000" w:rsidRPr="0095705E" w:rsidP="0095705E">
      <w:pPr>
        <w:pStyle w:val="ListBullet"/>
      </w:pPr>
      <w:r w:rsidRPr="0095705E">
        <w:t>checking</w:t>
      </w:r>
      <w:r w:rsidRPr="0095705E">
        <w:t xml:space="preserve"> calibration and qualification status of equipment</w:t>
      </w:r>
    </w:p>
    <w:p w:rsidR="00000000" w:rsidRPr="0095705E" w:rsidP="0095705E">
      <w:pPr>
        <w:pStyle w:val="ListBullet"/>
      </w:pPr>
      <w:r w:rsidRPr="0095705E">
        <w:t>preparing standards</w:t>
      </w:r>
    </w:p>
    <w:p w:rsidR="00000000" w:rsidRPr="0095705E" w:rsidP="0095705E">
      <w:pPr>
        <w:pStyle w:val="ListBullet"/>
      </w:pPr>
      <w:r w:rsidRPr="0095705E">
        <w:t>choosing and optimising procedures and equipment settings to suit sample and test requirements</w:t>
      </w:r>
    </w:p>
    <w:p w:rsidR="00000000" w:rsidRPr="0095705E" w:rsidP="0095705E">
      <w:pPr>
        <w:pStyle w:val="ListBullet"/>
      </w:pPr>
      <w:r w:rsidRPr="0095705E">
        <w:t>making approved adjustments to procedures for non-routine samples</w:t>
      </w:r>
    </w:p>
    <w:p w:rsidR="00000000" w:rsidRPr="0095705E" w:rsidP="0095705E">
      <w:pPr>
        <w:pStyle w:val="ListBullet"/>
      </w:pPr>
      <w:r w:rsidRPr="0095705E">
        <w:t>interpreting data, recog</w:t>
      </w:r>
      <w:r w:rsidRPr="0095705E">
        <w:t>nising atypical test data and results and making relevant conclusions</w:t>
      </w:r>
    </w:p>
    <w:p w:rsidR="00000000" w:rsidRPr="0095705E" w:rsidP="0095705E">
      <w:pPr>
        <w:pStyle w:val="ListBullet"/>
      </w:pPr>
      <w:r w:rsidRPr="0095705E">
        <w:t>troubleshooting common analytical procedure and equipment problems</w:t>
      </w:r>
    </w:p>
    <w:p w:rsidR="00000000" w:rsidRPr="0095705E" w:rsidP="0095705E">
      <w:pPr>
        <w:pStyle w:val="ListBullet"/>
      </w:pPr>
      <w:r w:rsidRPr="0095705E">
        <w:t>preparing and using calibration charts and standards</w:t>
      </w:r>
    </w:p>
    <w:p w:rsidR="00000000" w:rsidRPr="0095705E" w:rsidP="0095705E">
      <w:pPr>
        <w:pStyle w:val="ListBullet"/>
      </w:pPr>
      <w:r w:rsidRPr="0095705E">
        <w:t>identifying and calculating potential sources of uncertainty</w:t>
      </w:r>
    </w:p>
    <w:p w:rsidR="00000000" w:rsidRPr="0095705E" w:rsidP="0095705E">
      <w:pPr>
        <w:pStyle w:val="ListBullet"/>
      </w:pPr>
      <w:r w:rsidRPr="0095705E">
        <w:t>calcu</w:t>
      </w:r>
      <w:r w:rsidRPr="0095705E">
        <w:t>lating results using appropriate equations, units, uncertainties and precision</w:t>
      </w:r>
    </w:p>
    <w:p w:rsidR="00000000" w:rsidRPr="0095705E" w:rsidP="0095705E">
      <w:pPr>
        <w:pStyle w:val="ListBullet"/>
      </w:pPr>
      <w:r w:rsidRPr="0095705E">
        <w:t>recording and reporting data and results in accordance with workplace procedures</w:t>
      </w:r>
    </w:p>
    <w:p w:rsidR="00000000" w:rsidRPr="0095705E" w:rsidP="0095705E">
      <w:pPr>
        <w:pStyle w:val="ListBullet"/>
      </w:pPr>
      <w:r w:rsidRPr="0095705E">
        <w:t>maintaining security, integrity and traceability of samples and documentation</w:t>
      </w:r>
    </w:p>
    <w:p w:rsidR="00000000" w:rsidRPr="0095705E" w:rsidP="0095705E">
      <w:pPr>
        <w:pStyle w:val="ListBullet"/>
      </w:pPr>
      <w:r w:rsidRPr="0095705E">
        <w:t>following workplace safety procedures.</w:t>
      </w:r>
    </w:p>
    <w:p w:rsidR="00000000" w:rsidRPr="0095705E" w:rsidP="0095705E">
      <w:pPr>
        <w:pStyle w:val="AllowPageBreak"/>
      </w:pPr>
    </w:p>
    <w:p w:rsidR="00000000" w:rsidRPr="0095705E" w:rsidP="0095705E">
      <w:pPr>
        <w:pStyle w:val="Heading1"/>
      </w:pPr>
      <w:bookmarkStart w:id="3" w:name="O_901912"/>
      <w:bookmarkEnd w:id="3"/>
      <w:r w:rsidRPr="0095705E">
        <w:t>Knowledge Evidence</w:t>
      </w:r>
    </w:p>
    <w:p w:rsidR="00000000" w:rsidRPr="0095705E" w:rsidP="0095705E">
      <w:pPr>
        <w:pStyle w:val="BodyText"/>
      </w:pPr>
      <w:r w:rsidRPr="0095705E">
        <w:t>Must provide evidence that demonstrates knowledge of:</w:t>
      </w:r>
    </w:p>
    <w:p w:rsidR="00000000" w:rsidRPr="0095705E" w:rsidP="0095705E">
      <w:pPr>
        <w:pStyle w:val="ListBullet"/>
      </w:pPr>
      <w:r w:rsidRPr="0095705E">
        <w:t>redox and electrical principles and concepts related to electrometric instrumentation operation and testing</w:t>
      </w:r>
    </w:p>
    <w:p w:rsidR="00000000" w:rsidRPr="0095705E" w:rsidP="0095705E">
      <w:pPr>
        <w:pStyle w:val="ListBullet"/>
      </w:pPr>
      <w:r w:rsidRPr="0095705E">
        <w:t>use of various ele</w:t>
      </w:r>
      <w:r w:rsidRPr="0095705E">
        <w:t>ctrometric techniques for qualitative and quantitative analysis</w:t>
      </w:r>
    </w:p>
    <w:p w:rsidR="00000000" w:rsidRPr="0095705E" w:rsidP="0095705E">
      <w:pPr>
        <w:pStyle w:val="ListBullet"/>
      </w:pPr>
      <w:r w:rsidRPr="0095705E">
        <w:t>handling of unstable or hazardous chemicals and samples, including the fragile and labile nature of biological materials</w:t>
      </w:r>
    </w:p>
    <w:p w:rsidR="00000000" w:rsidRPr="0095705E" w:rsidP="0095705E">
      <w:pPr>
        <w:pStyle w:val="ListBullet"/>
      </w:pPr>
      <w:r w:rsidRPr="0095705E">
        <w:t>sample preparation procedures</w:t>
      </w:r>
    </w:p>
    <w:p w:rsidR="00000000" w:rsidRPr="0095705E" w:rsidP="0095705E">
      <w:pPr>
        <w:pStyle w:val="ListBullet"/>
      </w:pPr>
      <w:r w:rsidRPr="0095705E">
        <w:t>function of key components of the instrum</w:t>
      </w:r>
      <w:r w:rsidRPr="0095705E">
        <w:t>ents and effects on outputs and results of modifying instrumental variables, such as voltage and current ranges</w:t>
      </w:r>
    </w:p>
    <w:p w:rsidR="00000000" w:rsidRPr="0095705E" w:rsidP="0095705E">
      <w:pPr>
        <w:pStyle w:val="ListBullet"/>
      </w:pPr>
      <w:r w:rsidRPr="0095705E">
        <w:t>procedure for optimising equipment by changing operation parameters, such as drop rate and scan speed</w:t>
      </w:r>
    </w:p>
    <w:p w:rsidR="00000000" w:rsidRPr="0095705E" w:rsidP="0095705E">
      <w:pPr>
        <w:pStyle w:val="ListBullet"/>
      </w:pPr>
      <w:r w:rsidRPr="0095705E">
        <w:t>basic procedure and equipment troubleshoot</w:t>
      </w:r>
      <w:r w:rsidRPr="0095705E">
        <w:t>ing techniques</w:t>
      </w:r>
    </w:p>
    <w:p w:rsidR="00000000" w:rsidRPr="0095705E" w:rsidP="0095705E">
      <w:pPr>
        <w:pStyle w:val="ListBullet"/>
      </w:pPr>
      <w:r w:rsidRPr="0095705E">
        <w:t>common analytical procedure and equipment problems, including:</w:t>
      </w:r>
    </w:p>
    <w:p w:rsidR="00000000" w:rsidRPr="0095705E" w:rsidP="0095705E">
      <w:pPr>
        <w:pStyle w:val="ListBullet2"/>
      </w:pPr>
      <w:r w:rsidRPr="0095705E">
        <w:t>matrix interferences, such as formation of complexes</w:t>
      </w:r>
    </w:p>
    <w:p w:rsidR="00000000" w:rsidRPr="0095705E" w:rsidP="0095705E">
      <w:pPr>
        <w:pStyle w:val="ListBullet2"/>
      </w:pPr>
      <w:r w:rsidRPr="0095705E">
        <w:t>physical damage to electrodes</w:t>
      </w:r>
    </w:p>
    <w:p w:rsidR="00000000" w:rsidRPr="0095705E" w:rsidP="0095705E">
      <w:pPr>
        <w:pStyle w:val="ListBullet"/>
      </w:pPr>
      <w:r w:rsidRPr="0095705E">
        <w:t>calculation steps to give results in appropriate accuracy, precision, uncertainty and units</w:t>
      </w:r>
    </w:p>
    <w:p w:rsidR="00000000" w:rsidRPr="0095705E" w:rsidP="0095705E">
      <w:pPr>
        <w:pStyle w:val="ListBullet"/>
      </w:pPr>
      <w:r w:rsidRPr="0095705E">
        <w:t>workplace and legal traceability requirements</w:t>
      </w:r>
    </w:p>
    <w:p w:rsidR="00000000" w:rsidRPr="0095705E" w:rsidP="0095705E">
      <w:pPr>
        <w:pStyle w:val="ListBullet"/>
      </w:pPr>
      <w:r w:rsidRPr="0095705E">
        <w:t>basic equipment maintenance procedures</w:t>
      </w:r>
    </w:p>
    <w:p w:rsidR="00000000" w:rsidRPr="0095705E" w:rsidP="0095705E">
      <w:pPr>
        <w:pStyle w:val="ListBullet"/>
      </w:pPr>
      <w:r w:rsidRPr="0095705E">
        <w:t>relevant hazards, work health and safety (WHS) and environment requirements.</w:t>
      </w:r>
    </w:p>
    <w:p w:rsidR="00000000" w:rsidRPr="0095705E" w:rsidP="0095705E">
      <w:pPr>
        <w:pStyle w:val="AllowPageBreak"/>
      </w:pPr>
    </w:p>
    <w:p w:rsidR="00000000" w:rsidRPr="0095705E" w:rsidP="0095705E">
      <w:pPr>
        <w:pStyle w:val="Heading1"/>
      </w:pPr>
      <w:bookmarkStart w:id="4" w:name="O_901911"/>
      <w:bookmarkEnd w:id="4"/>
      <w:r w:rsidRPr="0095705E">
        <w:t>Assessment Conditions</w:t>
      </w:r>
    </w:p>
    <w:p w:rsidR="00000000" w:rsidRPr="0095705E" w:rsidP="0095705E">
      <w:pPr>
        <w:pStyle w:val="ListBullet"/>
      </w:pPr>
      <w:r w:rsidRPr="0095705E">
        <w:t>Judgment of competence must be based on holistic asses</w:t>
      </w:r>
      <w:r w:rsidRPr="0095705E">
        <w:t xml:space="preserve">sment of the evidence. Assessment methods must confirm consistency of performance over time, rather than a single assessment event. </w:t>
      </w:r>
    </w:p>
    <w:p w:rsidR="00000000" w:rsidRPr="0095705E" w:rsidP="0095705E">
      <w:pPr>
        <w:pStyle w:val="ListBullet"/>
      </w:pPr>
      <w:r w:rsidRPr="0095705E">
        <w:t>This unit of competency is to be assessed in the workplace or a simulated workplace environment. A simulated workplace envi</w:t>
      </w:r>
      <w:r w:rsidRPr="0095705E">
        <w:t xml:space="preserve">ronment must reflect realistic operational workplace conditions that cover all aspects of workplace performance, including the environment, task skills, task management skills, contingency management skills and job role environment skills.  </w:t>
      </w:r>
    </w:p>
    <w:p w:rsidR="00000000" w:rsidRPr="0095705E" w:rsidP="0095705E">
      <w:pPr>
        <w:pStyle w:val="ListBullet"/>
      </w:pPr>
      <w:r w:rsidRPr="0095705E">
        <w:t>Foundation ski</w:t>
      </w:r>
      <w:r w:rsidRPr="0095705E">
        <w:t xml:space="preserve">lls are integral to competent performance of the unit and should not be assessed separately. </w:t>
      </w:r>
    </w:p>
    <w:p w:rsidR="00000000" w:rsidRPr="0095705E" w:rsidP="0095705E">
      <w:pPr>
        <w:pStyle w:val="ListBullet"/>
      </w:pPr>
      <w:r w:rsidRPr="0095705E">
        <w:t>Assessment processes and techniques must be appropriate to the language, literacy and numeracy requirements of the work being performed and the needs of the candi</w:t>
      </w:r>
      <w:r w:rsidRPr="0095705E">
        <w:t>date.</w:t>
      </w:r>
    </w:p>
    <w:p w:rsidR="00000000" w:rsidRPr="0095705E" w:rsidP="0095705E">
      <w:pPr>
        <w:pStyle w:val="ListBullet"/>
      </w:pPr>
      <w:r w:rsidRPr="0095705E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95705E" w:rsidP="0095705E">
      <w:pPr>
        <w:pStyle w:val="ListBullet"/>
      </w:pPr>
      <w:r w:rsidRPr="0095705E">
        <w:t>This unit of competency may be assessed with:</w:t>
      </w:r>
      <w:r w:rsidRPr="0095705E">
        <w:t xml:space="preserve"> </w:t>
      </w:r>
    </w:p>
    <w:p w:rsidR="00000000" w:rsidRPr="0095705E" w:rsidP="0095705E">
      <w:pPr>
        <w:pStyle w:val="ListBullet2"/>
      </w:pPr>
      <w:r w:rsidRPr="0095705E">
        <w:t>MSL925001 Analyse data and report results</w:t>
      </w:r>
    </w:p>
    <w:p w:rsidR="00000000" w:rsidRPr="0095705E" w:rsidP="0095705E">
      <w:pPr>
        <w:pStyle w:val="ListBullet"/>
      </w:pPr>
      <w:r w:rsidRPr="0095705E">
        <w:t xml:space="preserve">Holistic assessment methods include: </w:t>
      </w:r>
    </w:p>
    <w:p w:rsidR="00000000" w:rsidRPr="0095705E" w:rsidP="0095705E">
      <w:pPr>
        <w:pStyle w:val="ListBullet2"/>
      </w:pPr>
      <w:r w:rsidRPr="0095705E">
        <w:t>review of test data/results obtained by the candidate over time to ensure accuracy, consistency and timeliness of results</w:t>
      </w:r>
    </w:p>
    <w:p w:rsidR="00000000" w:rsidRPr="0095705E" w:rsidP="0095705E">
      <w:pPr>
        <w:pStyle w:val="ListBullet2"/>
      </w:pPr>
      <w:r w:rsidRPr="0095705E">
        <w:t>inspection of test records and workplace documentation completed by the candidate</w:t>
      </w:r>
    </w:p>
    <w:p w:rsidR="00000000" w:rsidRPr="0095705E" w:rsidP="0095705E">
      <w:pPr>
        <w:pStyle w:val="ListBullet2"/>
      </w:pPr>
      <w:r w:rsidRPr="0095705E">
        <w:t>feedback from peers and supervisors</w:t>
      </w:r>
    </w:p>
    <w:p w:rsidR="00000000" w:rsidRPr="0095705E" w:rsidP="0095705E">
      <w:pPr>
        <w:pStyle w:val="ListBullet2"/>
      </w:pPr>
      <w:r w:rsidRPr="0095705E">
        <w:t>observation of candidate applying a range of routine electrometric techniques</w:t>
      </w:r>
    </w:p>
    <w:p w:rsidR="00000000" w:rsidRPr="0095705E" w:rsidP="0095705E">
      <w:pPr>
        <w:pStyle w:val="ListBullet2"/>
      </w:pPr>
      <w:r w:rsidRPr="0095705E">
        <w:t>oral or written questioning of chemical principles and conce</w:t>
      </w:r>
      <w:r w:rsidRPr="0095705E">
        <w:t>pts, electrometric techniques and workplace procedures.</w:t>
      </w:r>
    </w:p>
    <w:p w:rsidR="00000000" w:rsidRPr="0095705E" w:rsidP="0095705E">
      <w:pPr>
        <w:pStyle w:val="ListBullet"/>
      </w:pPr>
      <w:r w:rsidRPr="0095705E">
        <w:t>Access is required to instruments, equipment, materials, workplace documentation, procedures and specifications associated with this unit, including, but not limited to:</w:t>
      </w:r>
    </w:p>
    <w:p w:rsidR="00000000" w:rsidRPr="0095705E" w:rsidP="0095705E">
      <w:pPr>
        <w:pStyle w:val="ListBullet2"/>
      </w:pPr>
      <w:r w:rsidRPr="0095705E">
        <w:t>a standard laboratory equipp</w:t>
      </w:r>
      <w:r w:rsidRPr="0095705E">
        <w:t>ed with routine electrometric equipment, laboratory reagents and equipment, standard operating procedures (SOPs) and test methods.</w:t>
      </w:r>
    </w:p>
    <w:p w:rsidR="00000000" w:rsidRPr="0095705E" w:rsidP="0095705E">
      <w:pPr>
        <w:pStyle w:val="ListBullet"/>
      </w:pPr>
      <w:r w:rsidRPr="0095705E">
        <w:t>Assessors must satisfy the assessor competency requirements that are in place at the time of the assessment as set by the VE</w:t>
      </w:r>
      <w:r w:rsidRPr="0095705E">
        <w:t xml:space="preserve">T regulator.  </w:t>
      </w:r>
    </w:p>
    <w:p w:rsidR="00000000" w:rsidRPr="0095705E" w:rsidP="0095705E">
      <w:pPr>
        <w:pStyle w:val="ListBullet"/>
      </w:pPr>
      <w:r w:rsidRPr="0095705E">
        <w:t>The assessor must demonstrate both technical competence and currency.</w:t>
      </w:r>
    </w:p>
    <w:p w:rsidR="00000000" w:rsidRPr="0095705E" w:rsidP="0095705E">
      <w:pPr>
        <w:pStyle w:val="ListBullet"/>
      </w:pPr>
      <w:r w:rsidRPr="0095705E">
        <w:t>Technical competence can be demonstrated through:</w:t>
      </w:r>
    </w:p>
    <w:p w:rsidR="00000000" w:rsidRPr="0095705E" w:rsidP="0095705E">
      <w:pPr>
        <w:pStyle w:val="ListBullet2"/>
      </w:pPr>
      <w:r w:rsidRPr="0095705E">
        <w:t>relevant VET or other qualification/Statement of Attainment AND/OR</w:t>
      </w:r>
    </w:p>
    <w:p w:rsidR="00000000" w:rsidRPr="0095705E" w:rsidP="0095705E">
      <w:pPr>
        <w:pStyle w:val="ListBullet2"/>
      </w:pPr>
      <w:r w:rsidRPr="0095705E">
        <w:t>relevant workplace experience.</w:t>
      </w:r>
    </w:p>
    <w:p w:rsidR="00000000" w:rsidRPr="0095705E" w:rsidP="0095705E">
      <w:pPr>
        <w:pStyle w:val="ListBullet"/>
      </w:pPr>
      <w:r w:rsidRPr="0095705E">
        <w:t>Currency can be demonstrated through:</w:t>
      </w:r>
    </w:p>
    <w:p w:rsidR="00000000" w:rsidRPr="0095705E" w:rsidP="0095705E">
      <w:pPr>
        <w:pStyle w:val="ListBullet2"/>
      </w:pPr>
      <w:r w:rsidRPr="0095705E">
        <w:t>performing the competency being assessed as part of current employment OR</w:t>
      </w:r>
    </w:p>
    <w:p w:rsidR="00000000" w:rsidRPr="0095705E" w:rsidP="0095705E">
      <w:pPr>
        <w:pStyle w:val="ListBullet2"/>
      </w:pPr>
      <w:r w:rsidRPr="0095705E">
        <w:t>having consulted with a laboratory about performing the competency being assessed within the last twelve months.</w:t>
      </w:r>
    </w:p>
    <w:p w:rsidR="00000000" w:rsidRPr="0095705E" w:rsidP="0095705E">
      <w:pPr>
        <w:pStyle w:val="AllowPageBreak"/>
      </w:pPr>
    </w:p>
    <w:p w:rsidR="00000000" w:rsidRPr="0095705E" w:rsidP="0095705E">
      <w:pPr>
        <w:pStyle w:val="Heading1"/>
      </w:pPr>
      <w:bookmarkStart w:id="5" w:name="O_901909"/>
      <w:bookmarkEnd w:id="5"/>
      <w:r w:rsidRPr="0095705E">
        <w:t>Links</w:t>
      </w:r>
    </w:p>
    <w:p w:rsidR="00000000" w:rsidRPr="0095705E" w:rsidP="0095705E">
      <w:pPr>
        <w:pStyle w:val="BodyText"/>
      </w:pPr>
      <w:r w:rsidRPr="0095705E">
        <w:t>MSA Tra</w:t>
      </w:r>
      <w:r w:rsidRPr="0095705E">
        <w:t>ining Package Implementation Guides - http://mskills.org.au/training-packages/info/</w:t>
      </w:r>
    </w:p>
    <w:p w:rsidR="00000000" w:rsidRPr="0095705E" w:rsidP="0095705E"/>
    <w:sectPr w:rsidSect="009570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0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05E" w:rsidRPr="00022BAB" w:rsidP="00022B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0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AB" w:rsidP="00957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BAB" w:rsidP="00957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22BAB" w:rsidP="009570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0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05E" w:rsidRPr="00022BAB" w:rsidP="00022BA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0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AB" w:rsidRPr="002D2AF8" w:rsidP="00957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MSL975021 Apply routine electrometric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022BAB" w:rsidP="009570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CE2A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B0C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AA2C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0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0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0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0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0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0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0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0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0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0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0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05E"/>
  </w:style>
  <w:style w:type="character" w:customStyle="1" w:styleId="Heading1Char">
    <w:name w:val="Heading 1 Char"/>
    <w:basedOn w:val="DefaultParagraphFont"/>
    <w:link w:val="Heading1"/>
    <w:rsid w:val="009570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0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0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705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70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70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0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70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0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0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0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0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0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0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0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0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0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0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0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0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0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0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0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705E"/>
    <w:rPr>
      <w:b/>
      <w:spacing w:val="0"/>
    </w:rPr>
  </w:style>
  <w:style w:type="paragraph" w:customStyle="1" w:styleId="SuperTitle">
    <w:name w:val="SuperTitle"/>
    <w:basedOn w:val="Title"/>
    <w:rsid w:val="009570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0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0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70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0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0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0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0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0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0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0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0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05E"/>
    <w:rPr>
      <w:i/>
    </w:rPr>
  </w:style>
  <w:style w:type="paragraph" w:styleId="Caption">
    <w:name w:val="caption"/>
    <w:basedOn w:val="BodyText"/>
    <w:next w:val="Normal"/>
    <w:qFormat/>
    <w:rsid w:val="009570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0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0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05E"/>
  </w:style>
  <w:style w:type="paragraph" w:styleId="TableofFigures">
    <w:name w:val="table of figures"/>
    <w:basedOn w:val="Normal"/>
    <w:next w:val="Normal"/>
    <w:semiHidden/>
    <w:rsid w:val="009570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05E"/>
    <w:pPr>
      <w:numPr>
        <w:numId w:val="11"/>
      </w:numPr>
    </w:pPr>
  </w:style>
  <w:style w:type="character" w:customStyle="1" w:styleId="WingdingSymbols">
    <w:name w:val="Wingding Symbols"/>
    <w:rsid w:val="0095705E"/>
    <w:rPr>
      <w:rFonts w:ascii="Wingdings" w:hAnsi="Wingdings"/>
    </w:rPr>
  </w:style>
  <w:style w:type="paragraph" w:customStyle="1" w:styleId="TableHeading">
    <w:name w:val="Table Heading"/>
    <w:basedOn w:val="HeadingBase"/>
    <w:rsid w:val="009570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05E"/>
    <w:rPr>
      <w:color w:val="0033CC"/>
      <w:u w:val="none"/>
    </w:rPr>
  </w:style>
  <w:style w:type="paragraph" w:customStyle="1" w:styleId="BodyTextRight">
    <w:name w:val="Body Text Right"/>
    <w:basedOn w:val="BodyText"/>
    <w:rsid w:val="009570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0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0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0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0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0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05E"/>
    <w:rPr>
      <w:sz w:val="32"/>
    </w:rPr>
  </w:style>
  <w:style w:type="paragraph" w:customStyle="1" w:styleId="HeadingProcedure">
    <w:name w:val="Heading Procedure"/>
    <w:basedOn w:val="HeadingBase"/>
    <w:next w:val="Normal"/>
    <w:rsid w:val="009570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05E"/>
    <w:pPr>
      <w:spacing w:before="60" w:after="60"/>
    </w:pPr>
  </w:style>
  <w:style w:type="paragraph" w:styleId="ListContinue">
    <w:name w:val="List Continue"/>
    <w:basedOn w:val="List"/>
    <w:rsid w:val="0095705E"/>
    <w:pPr>
      <w:ind w:firstLine="0"/>
    </w:pPr>
  </w:style>
  <w:style w:type="paragraph" w:customStyle="1" w:styleId="ListNote">
    <w:name w:val="List Note"/>
    <w:basedOn w:val="List"/>
    <w:rsid w:val="009570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0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0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05E"/>
    <w:rPr>
      <w:rFonts w:ascii="Courier New" w:hAnsi="Courier New"/>
    </w:rPr>
  </w:style>
  <w:style w:type="paragraph" w:customStyle="1" w:styleId="NoteBullet">
    <w:name w:val="Note Bullet"/>
    <w:basedOn w:val="Note"/>
    <w:rsid w:val="009570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0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0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0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0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70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0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05E"/>
    <w:rPr>
      <w:b/>
      <w:smallCaps/>
    </w:rPr>
  </w:style>
  <w:style w:type="paragraph" w:customStyle="1" w:styleId="TableListNumber">
    <w:name w:val="Table List Number"/>
    <w:basedOn w:val="ListNumber"/>
    <w:rsid w:val="009570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0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05E"/>
    <w:pPr>
      <w:numPr>
        <w:numId w:val="9"/>
      </w:numPr>
    </w:pPr>
  </w:style>
  <w:style w:type="paragraph" w:customStyle="1" w:styleId="ListAlpha2">
    <w:name w:val="List Alpha 2"/>
    <w:basedOn w:val="List2"/>
    <w:rsid w:val="0095705E"/>
    <w:pPr>
      <w:numPr>
        <w:numId w:val="8"/>
      </w:numPr>
    </w:pPr>
  </w:style>
  <w:style w:type="paragraph" w:styleId="List2">
    <w:name w:val="List 2"/>
    <w:basedOn w:val="BodyText"/>
    <w:rsid w:val="009570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0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0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0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05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0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705E"/>
    <w:pPr>
      <w:numPr>
        <w:numId w:val="4"/>
      </w:numPr>
    </w:pPr>
  </w:style>
  <w:style w:type="paragraph" w:styleId="ListContinue2">
    <w:name w:val="List Continue 2"/>
    <w:basedOn w:val="List2"/>
    <w:rsid w:val="0095705E"/>
    <w:pPr>
      <w:ind w:firstLine="0"/>
    </w:pPr>
  </w:style>
  <w:style w:type="paragraph" w:styleId="ListContinue3">
    <w:name w:val="List Continue 3"/>
    <w:basedOn w:val="List3"/>
    <w:rsid w:val="0095705E"/>
    <w:pPr>
      <w:ind w:left="1021" w:firstLine="0"/>
    </w:pPr>
  </w:style>
  <w:style w:type="paragraph" w:styleId="ListContinue4">
    <w:name w:val="List Continue 4"/>
    <w:basedOn w:val="List4"/>
    <w:rsid w:val="0095705E"/>
    <w:pPr>
      <w:ind w:firstLine="0"/>
    </w:pPr>
  </w:style>
  <w:style w:type="paragraph" w:styleId="ListContinue5">
    <w:name w:val="List Continue 5"/>
    <w:basedOn w:val="List5"/>
    <w:rsid w:val="0095705E"/>
    <w:pPr>
      <w:ind w:firstLine="0"/>
    </w:pPr>
  </w:style>
  <w:style w:type="paragraph" w:styleId="ListNumber3">
    <w:name w:val="List Number 3"/>
    <w:basedOn w:val="List3"/>
    <w:rsid w:val="0095705E"/>
    <w:pPr>
      <w:numPr>
        <w:numId w:val="5"/>
      </w:numPr>
    </w:pPr>
  </w:style>
  <w:style w:type="paragraph" w:styleId="ListNumber4">
    <w:name w:val="List Number 4"/>
    <w:basedOn w:val="List4"/>
    <w:rsid w:val="0095705E"/>
    <w:pPr>
      <w:numPr>
        <w:numId w:val="6"/>
      </w:numPr>
    </w:pPr>
  </w:style>
  <w:style w:type="paragraph" w:styleId="ListNumber5">
    <w:name w:val="List Number 5"/>
    <w:basedOn w:val="List5"/>
    <w:rsid w:val="0095705E"/>
    <w:pPr>
      <w:numPr>
        <w:numId w:val="7"/>
      </w:numPr>
    </w:pPr>
  </w:style>
  <w:style w:type="paragraph" w:styleId="BlockText">
    <w:name w:val="Block Text"/>
    <w:basedOn w:val="Normal"/>
    <w:rsid w:val="009570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0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05E"/>
    <w:rPr>
      <w:sz w:val="16"/>
      <w:vertAlign w:val="superscript"/>
    </w:rPr>
  </w:style>
  <w:style w:type="character" w:customStyle="1" w:styleId="Symbols">
    <w:name w:val="Symbols"/>
    <w:basedOn w:val="DefaultParagraphFont"/>
    <w:rsid w:val="0095705E"/>
    <w:rPr>
      <w:rFonts w:ascii="Symbol" w:hAnsi="Symbol"/>
    </w:rPr>
  </w:style>
  <w:style w:type="character" w:customStyle="1" w:styleId="MenuOptions">
    <w:name w:val="Menu Options"/>
    <w:basedOn w:val="DefaultParagraphFont"/>
    <w:rsid w:val="009570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05E"/>
    <w:rPr>
      <w:b/>
    </w:rPr>
  </w:style>
  <w:style w:type="character" w:customStyle="1" w:styleId="Underlined">
    <w:name w:val="Underlined"/>
    <w:basedOn w:val="DefaultParagraphFont"/>
    <w:rsid w:val="0095705E"/>
    <w:rPr>
      <w:u w:val="single"/>
    </w:rPr>
  </w:style>
  <w:style w:type="paragraph" w:customStyle="1" w:styleId="TableBodyTextRight">
    <w:name w:val="Table Body Text Right"/>
    <w:basedOn w:val="TableBodyText"/>
    <w:rsid w:val="009570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05E"/>
    <w:rPr>
      <w:sz w:val="18"/>
    </w:rPr>
  </w:style>
  <w:style w:type="paragraph" w:customStyle="1" w:styleId="BodySmallRight">
    <w:name w:val="Body Small Right"/>
    <w:basedOn w:val="BodyTextRight"/>
    <w:rsid w:val="0095705E"/>
    <w:rPr>
      <w:sz w:val="18"/>
      <w:szCs w:val="18"/>
    </w:rPr>
  </w:style>
  <w:style w:type="paragraph" w:customStyle="1" w:styleId="MarginEdition">
    <w:name w:val="Margin Edition"/>
    <w:basedOn w:val="MarginNote"/>
    <w:rsid w:val="009570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05E"/>
    <w:rPr>
      <w:sz w:val="2"/>
      <w:szCs w:val="2"/>
    </w:rPr>
  </w:style>
  <w:style w:type="character" w:customStyle="1" w:styleId="Small">
    <w:name w:val="Small"/>
    <w:basedOn w:val="DefaultParagraphFont"/>
    <w:rsid w:val="0095705E"/>
    <w:rPr>
      <w:sz w:val="16"/>
    </w:rPr>
  </w:style>
  <w:style w:type="paragraph" w:customStyle="1" w:styleId="WideTable">
    <w:name w:val="Wide Table"/>
    <w:basedOn w:val="Normal"/>
    <w:rsid w:val="009570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05E"/>
  </w:style>
  <w:style w:type="paragraph" w:styleId="Quote">
    <w:name w:val="Quote"/>
    <w:basedOn w:val="Heading1"/>
    <w:link w:val="QuoteChar"/>
    <w:qFormat/>
    <w:rsid w:val="009570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0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05E"/>
    <w:pPr>
      <w:pageBreakBefore/>
    </w:pPr>
  </w:style>
  <w:style w:type="paragraph" w:customStyle="1" w:styleId="Border">
    <w:name w:val="Border"/>
    <w:basedOn w:val="Normal"/>
    <w:qFormat/>
    <w:rsid w:val="009570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0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0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0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0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0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0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0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05E"/>
    <w:rPr>
      <w:u w:val="single"/>
    </w:rPr>
  </w:style>
  <w:style w:type="character" w:customStyle="1" w:styleId="BoldandItalics">
    <w:name w:val="Bold and Italics"/>
    <w:qFormat/>
    <w:rsid w:val="0095705E"/>
    <w:rPr>
      <w:b/>
      <w:i/>
      <w:u w:val="none"/>
    </w:rPr>
  </w:style>
  <w:style w:type="paragraph" w:styleId="BalloonText">
    <w:name w:val="Balloon Text"/>
    <w:basedOn w:val="Normal"/>
    <w:link w:val="BalloonTextChar"/>
    <w:rsid w:val="00957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0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0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0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0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0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4698</Characters>
  <Application>Microsoft Office Word</Application>
  <DocSecurity>0</DocSecurity>
  <Lines>98</Lines>
  <Paragraphs>66</Paragraphs>
  <ScaleCrop>false</ScaleCrop>
  <Company>Author-it Software Corporation Ltd.</Company>
  <LinksUpToDate>false</LinksUpToDate>
  <CharactersWithSpaces>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MSL975021 Apply routine electrometric techniques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2016-03-01T06:30:00Z</dcterms:created>
  <dcterms:modified xsi:type="dcterms:W3CDTF">2016-03-01T06:30:00Z</dcterms:modified>
</cp:coreProperties>
</file>