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052" w:rsidP="009610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MSL975019 Apply complex instrumental techniques</w:t>
      </w:r>
      <w:r>
        <w:fldChar w:fldCharType="end"/>
      </w:r>
    </w:p>
    <w:p w:rsidR="00961052" w:rsidP="00961052">
      <w:pPr>
        <w:pStyle w:val="Version"/>
        <w:sectPr w:rsidSect="00566E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E5A" w:rsidP="00566E5A">
      <w:pPr>
        <w:pStyle w:val="SuperHeading"/>
      </w:pPr>
      <w:r w:rsidRPr="00566E5A">
        <w:t>MSL975019 Apply complex instrumental techniques</w:t>
      </w:r>
    </w:p>
    <w:p w:rsidR="00000000" w:rsidRPr="00566E5A" w:rsidP="00566E5A">
      <w:pPr>
        <w:pStyle w:val="Heading1"/>
      </w:pPr>
      <w:bookmarkStart w:id="1" w:name="O_901876"/>
      <w:bookmarkEnd w:id="1"/>
      <w:r w:rsidRPr="00566E5A">
        <w:t>Modification History</w:t>
      </w:r>
    </w:p>
    <w:p w:rsidR="00000000" w:rsidRPr="00566E5A" w:rsidP="00961052">
      <w:pPr>
        <w:pStyle w:val="BodyText"/>
      </w:pPr>
      <w:r w:rsidRPr="00566E5A">
        <w:t>Release 1. Supersedes and is equivalent to MSL975019A Apply complex instrumental techniques</w:t>
      </w:r>
    </w:p>
    <w:p w:rsidR="00000000" w:rsidRPr="00566E5A" w:rsidP="00566E5A">
      <w:pPr>
        <w:pStyle w:val="Heading1"/>
      </w:pPr>
      <w:bookmarkStart w:id="2" w:name="O_901884"/>
      <w:bookmarkEnd w:id="2"/>
      <w:r w:rsidRPr="00566E5A">
        <w:t>Application</w:t>
      </w:r>
    </w:p>
    <w:p w:rsidR="00000000" w:rsidRPr="00566E5A" w:rsidP="00961052">
      <w:pPr>
        <w:pStyle w:val="BodyText"/>
      </w:pPr>
      <w:r w:rsidRPr="00566E5A">
        <w:t>This unit of competency covers the ability to analyse samples using specialised analytical instruments tha</w:t>
      </w:r>
      <w:r w:rsidRPr="00566E5A">
        <w:t>t require highly developed technical skills to operate effectively. Competency includes the ability to establish client needs for routine and non-routine samples, optimising workplace procedures and instruments for specific samples, obtaining valid and rel</w:t>
      </w:r>
      <w:r w:rsidRPr="00566E5A">
        <w:t>iable data and reporting test results. Personnel are required to recognise atypical test data/results and troubleshoot common analytical procedure and equipment problems.</w:t>
      </w:r>
    </w:p>
    <w:p w:rsidR="00000000" w:rsidRPr="00566E5A" w:rsidP="00961052">
      <w:pPr>
        <w:pStyle w:val="BodyText"/>
      </w:pPr>
      <w:r w:rsidRPr="00566E5A">
        <w:t xml:space="preserve">This unit of competency is applicable to technical officers working in all industry </w:t>
      </w:r>
      <w:r w:rsidRPr="00566E5A">
        <w:t xml:space="preserve">sectors, government agencies and research laboratories. All operations and analytical methods must comply with relevant standards, appropriate procedures and/or workplace requirements. Although a supervisor may not always be present, the technical officer </w:t>
      </w:r>
      <w:r w:rsidRPr="00566E5A">
        <w:t>will follow standard operating procedures (SOPs) that clearly describe the scope of permitted practice, including varying workplace/test procedures and communicating results to people outside the laboratory.</w:t>
      </w:r>
    </w:p>
    <w:p w:rsidR="00000000" w:rsidRPr="00566E5A" w:rsidP="00961052">
      <w:pPr>
        <w:pStyle w:val="BodyText"/>
      </w:pPr>
      <w:r w:rsidRPr="00566E5A">
        <w:t>While no specific licensing or certification re</w:t>
      </w:r>
      <w:r w:rsidRPr="00566E5A">
        <w:t>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566E5A" w:rsidP="00566E5A">
      <w:pPr>
        <w:pStyle w:val="Heading1"/>
      </w:pPr>
      <w:bookmarkStart w:id="3" w:name="O_901883"/>
      <w:bookmarkEnd w:id="3"/>
      <w:r w:rsidRPr="00566E5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2"/>
        <w:gridCol w:w="7574"/>
      </w:tblGrid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MSL97500</w:t>
            </w:r>
            <w:r w:rsidRPr="00566E5A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 xml:space="preserve">Apply routine chromatographic techniques </w:t>
            </w: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 xml:space="preserve">Perform chemical tests </w:t>
            </w: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Perform biological procedures</w:t>
            </w: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BoldandItalics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MSL975020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 xml:space="preserve">Apply routine spectrometric techniques </w:t>
            </w: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 xml:space="preserve">Perform chemical tests </w:t>
            </w: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Perform biological procedures</w:t>
            </w:r>
          </w:p>
        </w:tc>
      </w:tr>
    </w:tbl>
    <w:p w:rsidR="00000000" w:rsidRPr="00566E5A" w:rsidP="00566E5A">
      <w:pPr>
        <w:pStyle w:val="BodyText"/>
      </w:pPr>
    </w:p>
    <w:p w:rsidR="00000000" w:rsidRPr="00566E5A" w:rsidP="00566E5A">
      <w:pPr>
        <w:pStyle w:val="AllowPageBreak"/>
      </w:pPr>
    </w:p>
    <w:p w:rsidR="00000000" w:rsidRPr="00566E5A" w:rsidP="00566E5A">
      <w:pPr>
        <w:pStyle w:val="Heading1"/>
      </w:pPr>
      <w:bookmarkStart w:id="4" w:name="O_901882"/>
      <w:bookmarkEnd w:id="4"/>
      <w:r w:rsidRPr="00566E5A">
        <w:t>Competency Field</w:t>
      </w:r>
    </w:p>
    <w:p w:rsidR="00000000" w:rsidRPr="00566E5A" w:rsidP="00961052">
      <w:pPr>
        <w:pStyle w:val="BodyText"/>
      </w:pPr>
      <w:r w:rsidRPr="00566E5A">
        <w:t>Testing</w:t>
      </w:r>
    </w:p>
    <w:p w:rsidR="00000000" w:rsidRPr="00566E5A" w:rsidP="00566E5A">
      <w:pPr>
        <w:pStyle w:val="Heading1"/>
      </w:pPr>
      <w:bookmarkStart w:id="5" w:name="O_901881"/>
      <w:bookmarkEnd w:id="5"/>
      <w:r w:rsidRPr="00566E5A">
        <w:t>Unit Sector</w:t>
      </w:r>
    </w:p>
    <w:p w:rsidR="00000000" w:rsidRPr="00566E5A" w:rsidP="00566E5A">
      <w:pPr>
        <w:pStyle w:val="Heading1"/>
      </w:pPr>
      <w:bookmarkStart w:id="6" w:name="O_901880"/>
      <w:bookmarkEnd w:id="6"/>
      <w:r w:rsidRPr="00566E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Performance criteria describe the performance needed to demo</w:t>
            </w:r>
            <w:r w:rsidRPr="00566E5A">
              <w:t>nstrate achievement of the element.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Liaise with client or sample provider to determine client needs and sample history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Record sample description, compare with specification and record and report discrepancies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Identify non-routine samples and the possible need to vary workplace procedures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Seek advice from supervisor about any proposed variations and document all approved changes.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Schedule analysis using workplace procedures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Obtain a representative analytical portion of the laboratory sample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Prepare sample in accordance with testing requirements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 xml:space="preserve">Prepare validation checks and/or calibration standards </w:t>
            </w:r>
            <w:r w:rsidRPr="00566E5A">
              <w:t>for analytical portions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Use specialised procedures for ultra-trace samples and standard preparation as required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Set up and optimise instrument and sub-systems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Perform pre-use and safety checks using workplace procedures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Assemble appropriate instrument sub-systems to construct the required analytical path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 xml:space="preserve">Start up and condition the instrument using </w:t>
            </w:r>
            <w:r w:rsidRPr="00566E5A">
              <w:t>workplace procedures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Check and optimise each instrument sub-system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Optimise instrumental parameters to suit sample and test requirements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Check calibration status of instrument and perform calibration using specified standards and procedures, as required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Measure analyte response for standards, validation checks and samples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Conduct sufficient measurements to obtain reliable data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Return instruments to standby or shutdown condition as required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Confirm data is the result of valid measurements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Perform required calculations and ensure results are consistent with standards or estimations and expectations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Record results with the appropriate accuracy, precision, uncertainty and units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Analyse trends in data and/or results and report out</w:t>
            </w:r>
            <w:r w:rsidRPr="00566E5A">
              <w:t>-of-specification or atypical results promptly to appropriate personnel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Troubleshoot analytical procedure or equipment problems which have led to atypical data or results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Identify risks, hazards, safety equipment and control measures associated with sample handling, preparation and analytical method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Use personal protective equipment (PPE) and safety procedures specified for test method and materials to be tested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Minimise the generation of waste and environmental impacts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Ensure the safe disposal of laboratory waste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Clean, care for and store equipment and consumables in accordance with workplace procedures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Enter approved data and results into laboratory information management system (LIMS)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Maintain equipment logs in accordance with workplace procedures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Maintain security, integrity and traceability of samples and documentation</w:t>
            </w:r>
          </w:p>
        </w:tc>
      </w:tr>
      <w:tr w:rsidTr="00566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Communicate results to appropriate personnel</w:t>
            </w:r>
          </w:p>
        </w:tc>
      </w:tr>
    </w:tbl>
    <w:p w:rsidR="00961052" w:rsidP="00566E5A">
      <w:pPr>
        <w:pStyle w:val="BodyText"/>
      </w:pPr>
    </w:p>
    <w:p w:rsidR="00961052" w:rsidP="00566E5A">
      <w:pPr>
        <w:pStyle w:val="BodyText"/>
      </w:pPr>
    </w:p>
    <w:p w:rsidR="00000000" w:rsidRPr="00566E5A" w:rsidP="00566E5A">
      <w:pPr>
        <w:pStyle w:val="Heading1"/>
      </w:pPr>
      <w:bookmarkStart w:id="7" w:name="O_901879"/>
      <w:bookmarkEnd w:id="7"/>
      <w:r w:rsidRPr="00566E5A">
        <w:t>Foundation Skills</w:t>
      </w:r>
    </w:p>
    <w:p w:rsidR="00000000" w:rsidRPr="00566E5A" w:rsidP="00961052">
      <w:pPr>
        <w:pStyle w:val="BodyText"/>
      </w:pPr>
      <w:r w:rsidRPr="00566E5A">
        <w:t>This section describes those language, literacy, numeracy and employment skills that are essential to performance.</w:t>
      </w:r>
    </w:p>
    <w:p w:rsidR="00000000" w:rsidRPr="00566E5A" w:rsidP="00961052">
      <w:pPr>
        <w:pStyle w:val="BodyText"/>
      </w:pPr>
      <w:r w:rsidRPr="00566E5A">
        <w:t>Foundation skills essential to performance are explicit in the performance criteria of this unit of competency.</w:t>
      </w:r>
    </w:p>
    <w:p w:rsidR="00000000" w:rsidRPr="00566E5A" w:rsidP="00566E5A">
      <w:pPr>
        <w:pStyle w:val="Heading1"/>
      </w:pPr>
      <w:bookmarkStart w:id="8" w:name="O_901878"/>
      <w:bookmarkEnd w:id="8"/>
      <w:r w:rsidRPr="00566E5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t>This field allows for different work environments and conditions that may affect performance. Essential ope</w:t>
            </w:r>
            <w:r w:rsidRPr="00566E5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Standards, code</w:t>
            </w:r>
            <w:r w:rsidRPr="00566E5A">
              <w:t>s, procedures and/or workplace requirements include the latest version of one or more of:</w:t>
            </w:r>
          </w:p>
          <w:p w:rsidR="00000000" w:rsidRPr="00566E5A" w:rsidP="00566E5A">
            <w:pPr>
              <w:pStyle w:val="ListBullet"/>
            </w:pPr>
            <w:r w:rsidRPr="00566E5A">
              <w:t>Australian and international standards covering the requirements for the competence of testing and calibration laboratories, laboratory design and construction, phys</w:t>
            </w:r>
            <w:r w:rsidRPr="00566E5A">
              <w:t>ical containment levels and facility types, laboratory safety, and quality and environmental management</w:t>
            </w:r>
          </w:p>
          <w:p w:rsidR="00000000" w:rsidRPr="00566E5A" w:rsidP="00566E5A">
            <w:pPr>
              <w:pStyle w:val="ListBullet"/>
            </w:pPr>
            <w:r w:rsidRPr="00566E5A">
              <w:t>national work health and safety (WHS) standards and codes of practice, and national measurement regulations and guidelines</w:t>
            </w:r>
          </w:p>
          <w:p w:rsidR="00000000" w:rsidRPr="00566E5A" w:rsidP="00566E5A">
            <w:pPr>
              <w:pStyle w:val="ListBullet"/>
            </w:pPr>
            <w:r w:rsidRPr="00566E5A">
              <w:t>Australian and international standards and guidelines covering specialised spectrometric and chromatographic analysis, accuracy of measurement methods and results, expression of uncertainty and quantifying uncertainty</w:t>
            </w:r>
          </w:p>
          <w:p w:rsidR="00000000" w:rsidRPr="00566E5A" w:rsidP="00566E5A">
            <w:pPr>
              <w:pStyle w:val="ListBullet"/>
            </w:pPr>
            <w:r w:rsidRPr="00566E5A">
              <w:t>specific codes, guidelines, procedures</w:t>
            </w:r>
            <w:r w:rsidRPr="00566E5A">
              <w:t xml:space="preserve"> and methods, such as the Australian code of good manufacturing practice for medicinal products (GMP), and principles of good laboratory practice (GLP)</w:t>
            </w:r>
          </w:p>
          <w:p w:rsidR="00000000" w:rsidRPr="00566E5A" w:rsidP="00566E5A">
            <w:pPr>
              <w:pStyle w:val="ListBullet"/>
            </w:pPr>
            <w:r w:rsidRPr="00566E5A">
              <w:t>workplace documents, such as standard operating procedures (SOPs); quality and equipment manuals; calibr</w:t>
            </w:r>
            <w:r w:rsidRPr="00566E5A">
              <w:t>ation and maintenance schedules; material safety data sheets (MSDS) and safety procedures; material, production and product specifications; production and laboratory schedules; workplace recording and reporting procedures; waste minimisation and safe dispo</w:t>
            </w:r>
            <w:r w:rsidRPr="00566E5A">
              <w:t>sal procedures; cleaning, hygiene and personal hygiene requirements; and stock records and inventory</w:t>
            </w:r>
          </w:p>
          <w:p w:rsidR="00000000" w:rsidRPr="00566E5A" w:rsidP="00566E5A">
            <w:pPr>
              <w:pStyle w:val="ListBullet"/>
            </w:pPr>
            <w:r w:rsidRPr="00566E5A">
              <w:t>sampling procedures (labelling, preparation, storage, transport and disposal)</w:t>
            </w:r>
          </w:p>
          <w:p w:rsidR="00000000" w:rsidRPr="00566E5A" w:rsidP="00566E5A">
            <w:pPr>
              <w:pStyle w:val="ListBullet"/>
            </w:pPr>
            <w:r w:rsidRPr="00566E5A">
              <w:t>test procedures (validated and authorised)</w:t>
            </w:r>
          </w:p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Specialised analytical instrumen</w:t>
            </w:r>
            <w:r w:rsidRPr="00566E5A">
              <w:rPr>
                <w:rStyle w:val="SpecialBold"/>
              </w:rPr>
              <w:t xml:space="preserve">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Specialised analytical instruments include one or more of, but are not limited to:</w:t>
            </w:r>
          </w:p>
          <w:p w:rsidR="00000000" w:rsidRPr="00566E5A" w:rsidP="00566E5A">
            <w:pPr>
              <w:pStyle w:val="ListBullet"/>
            </w:pPr>
            <w:r w:rsidRPr="00566E5A">
              <w:t>spectrometric instruments:</w:t>
            </w:r>
          </w:p>
          <w:p w:rsidR="00000000" w:rsidRPr="00566E5A" w:rsidP="00566E5A">
            <w:pPr>
              <w:pStyle w:val="ListBullet2"/>
            </w:pPr>
            <w:r w:rsidRPr="00566E5A">
              <w:t>electrothermal atomic absorption spectroscopy (AAS)</w:t>
            </w:r>
          </w:p>
          <w:p w:rsidR="00000000" w:rsidRPr="00566E5A" w:rsidP="00566E5A">
            <w:pPr>
              <w:pStyle w:val="ListBullet2"/>
            </w:pPr>
            <w:r w:rsidRPr="00566E5A">
              <w:t>vapour generation AAS</w:t>
            </w:r>
          </w:p>
          <w:p w:rsidR="00000000" w:rsidRPr="00566E5A" w:rsidP="00566E5A">
            <w:pPr>
              <w:pStyle w:val="ListBullet2"/>
            </w:pPr>
            <w:r w:rsidRPr="00566E5A">
              <w:t>X-ray fluorescence (XRF) and diffraction (XRD)</w:t>
            </w:r>
          </w:p>
          <w:p w:rsidR="00000000" w:rsidRPr="00566E5A" w:rsidP="00566E5A">
            <w:pPr>
              <w:pStyle w:val="ListBullet2"/>
            </w:pPr>
            <w:r w:rsidRPr="00566E5A">
              <w:t>nuclear magnetic resonance (NMR) and magnetic resonance imaging (MRI)</w:t>
            </w:r>
          </w:p>
          <w:p w:rsidR="00000000" w:rsidRPr="00566E5A" w:rsidP="00566E5A">
            <w:pPr>
              <w:pStyle w:val="ListBullet2"/>
            </w:pPr>
            <w:r w:rsidRPr="00566E5A">
              <w:t>mass spectrometry (MS)</w:t>
            </w:r>
          </w:p>
          <w:p w:rsidR="00000000" w:rsidRPr="00566E5A" w:rsidP="00566E5A">
            <w:pPr>
              <w:pStyle w:val="ListBullet2"/>
            </w:pPr>
            <w:r w:rsidRPr="00566E5A">
              <w:t>neutron activation analysis (NAA)</w:t>
            </w:r>
          </w:p>
          <w:p w:rsidR="00000000" w:rsidRPr="00566E5A" w:rsidP="00566E5A">
            <w:pPr>
              <w:pStyle w:val="ListBullet2"/>
            </w:pPr>
            <w:r w:rsidRPr="00566E5A">
              <w:t>inductively coupled plasma mass spectrometry (ICP-MS)</w:t>
            </w:r>
          </w:p>
          <w:p w:rsidR="00000000" w:rsidRPr="00566E5A" w:rsidP="00566E5A">
            <w:pPr>
              <w:pStyle w:val="ListBullet"/>
            </w:pPr>
            <w:r w:rsidRPr="00566E5A">
              <w:t>chromatographic instruments:</w:t>
            </w:r>
          </w:p>
          <w:p w:rsidR="00000000" w:rsidRPr="00566E5A" w:rsidP="00566E5A">
            <w:pPr>
              <w:pStyle w:val="ListBullet2"/>
            </w:pPr>
            <w:r w:rsidRPr="00566E5A">
              <w:t>gas chromatography mass spectroscopy (GC-MS)</w:t>
            </w:r>
          </w:p>
          <w:p w:rsidR="00000000" w:rsidRPr="00566E5A" w:rsidP="00566E5A">
            <w:pPr>
              <w:pStyle w:val="ListBullet2"/>
            </w:pPr>
            <w:r w:rsidRPr="00566E5A">
              <w:t>GC sampling devices (e.g. headspace and thermal desorption)</w:t>
            </w:r>
          </w:p>
          <w:p w:rsidR="00000000" w:rsidRPr="00566E5A" w:rsidP="00566E5A">
            <w:pPr>
              <w:pStyle w:val="ListBullet2"/>
            </w:pPr>
            <w:r w:rsidRPr="00566E5A">
              <w:t>specialised GC detection devices (e.g. electron capture detector (ECD), flame photometric detector (FPD) and nitrogen phosphorous detection (NPD))</w:t>
            </w:r>
          </w:p>
          <w:p w:rsidR="00000000" w:rsidRPr="00566E5A" w:rsidP="00566E5A">
            <w:pPr>
              <w:pStyle w:val="ListBullet2"/>
            </w:pPr>
            <w:r w:rsidRPr="00566E5A">
              <w:t>specialised GC detection devices (e.g. fluoresce</w:t>
            </w:r>
            <w:r w:rsidRPr="00566E5A">
              <w:t>nt, diode array and electrochemical)</w:t>
            </w:r>
          </w:p>
          <w:p w:rsidR="00000000" w:rsidRPr="00566E5A" w:rsidP="00566E5A">
            <w:pPr>
              <w:pStyle w:val="ListBullet2"/>
            </w:pPr>
            <w:r w:rsidRPr="00566E5A">
              <w:t>liquid chromatography mass spectroscopy (LC-MS), electro-spray MS</w:t>
            </w:r>
          </w:p>
          <w:p w:rsidR="00000000" w:rsidRPr="00566E5A" w:rsidP="00566E5A">
            <w:pPr>
              <w:pStyle w:val="ListBullet2"/>
            </w:pPr>
            <w:r w:rsidRPr="00566E5A">
              <w:t>gas chromatography Fourier transform infrared (GC-FTIR)</w:t>
            </w:r>
          </w:p>
          <w:p w:rsidR="00000000" w:rsidRPr="00566E5A" w:rsidP="00566E5A">
            <w:pPr>
              <w:pStyle w:val="ListBullet"/>
            </w:pPr>
            <w:r w:rsidRPr="00566E5A">
              <w:t>electrometric instruments, such as anodic stripping voltammetry</w:t>
            </w:r>
          </w:p>
          <w:p w:rsidR="00000000" w:rsidRPr="00566E5A" w:rsidP="00566E5A">
            <w:pPr>
              <w:pStyle w:val="ListBullet"/>
            </w:pPr>
            <w:r w:rsidRPr="00566E5A">
              <w:t>flow injection analytical equipment</w:t>
            </w:r>
          </w:p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 xml:space="preserve">Tests requiring specialised analytical instruments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Tests requiring specialised analytical instruments include, but are not limited to, one or more of:</w:t>
            </w:r>
          </w:p>
          <w:p w:rsidR="00000000" w:rsidRPr="00566E5A" w:rsidP="00566E5A">
            <w:pPr>
              <w:pStyle w:val="ListBullet"/>
            </w:pPr>
            <w:r w:rsidRPr="00566E5A">
              <w:t>trace analysis</w:t>
            </w:r>
          </w:p>
          <w:p w:rsidR="00000000" w:rsidRPr="00566E5A" w:rsidP="00566E5A">
            <w:pPr>
              <w:pStyle w:val="ListBullet"/>
            </w:pPr>
            <w:r w:rsidRPr="00566E5A">
              <w:t>non-destructive testing</w:t>
            </w:r>
          </w:p>
          <w:p w:rsidR="00000000" w:rsidRPr="00566E5A" w:rsidP="00566E5A">
            <w:pPr>
              <w:pStyle w:val="ListBullet"/>
            </w:pPr>
            <w:r w:rsidRPr="00566E5A">
              <w:t>multi-analyte determination</w:t>
            </w:r>
          </w:p>
          <w:p w:rsidR="00000000" w:rsidRPr="00566E5A" w:rsidP="00566E5A">
            <w:pPr>
              <w:pStyle w:val="ListBullet"/>
            </w:pPr>
            <w:r w:rsidRPr="00566E5A">
              <w:t>analysis involving high sample throughput</w:t>
            </w:r>
          </w:p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Instrument sub-systems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Instrument sub-systems include, but are not limited to, one or more of:</w:t>
            </w:r>
          </w:p>
          <w:p w:rsidR="00000000" w:rsidRPr="00566E5A" w:rsidP="00566E5A">
            <w:pPr>
              <w:pStyle w:val="ListBullet"/>
            </w:pPr>
            <w:r w:rsidRPr="00566E5A">
              <w:t>sample introduction units and auto sampling equipment</w:t>
            </w:r>
          </w:p>
          <w:p w:rsidR="00000000" w:rsidRPr="00566E5A" w:rsidP="00566E5A">
            <w:pPr>
              <w:pStyle w:val="ListBullet"/>
            </w:pPr>
            <w:r w:rsidRPr="00566E5A">
              <w:t xml:space="preserve">detectors and signal conditioning </w:t>
            </w:r>
            <w:r w:rsidRPr="00566E5A">
              <w:t>units</w:t>
            </w:r>
          </w:p>
          <w:p w:rsidR="00000000" w:rsidRPr="00566E5A" w:rsidP="00566E5A">
            <w:pPr>
              <w:pStyle w:val="ListBullet"/>
            </w:pPr>
            <w:r w:rsidRPr="00566E5A">
              <w:t>temperature control devices, such as cryostats, ovens and thermostat baths</w:t>
            </w:r>
          </w:p>
          <w:p w:rsidR="00000000" w:rsidRPr="00566E5A" w:rsidP="00566E5A">
            <w:pPr>
              <w:pStyle w:val="ListBullet"/>
            </w:pPr>
            <w:r w:rsidRPr="00566E5A">
              <w:t>software control/interface</w:t>
            </w:r>
          </w:p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 xml:space="preserve">Sample preparation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Sample preparation includes one or more of:</w:t>
            </w:r>
          </w:p>
          <w:p w:rsidR="00000000" w:rsidRPr="00566E5A" w:rsidP="00566E5A">
            <w:pPr>
              <w:pStyle w:val="ListBullet"/>
            </w:pPr>
            <w:r w:rsidRPr="00566E5A">
              <w:t>identification of any hazards associated with the samples and/or analytical chemicals</w:t>
            </w:r>
          </w:p>
          <w:p w:rsidR="00000000" w:rsidRPr="00566E5A" w:rsidP="00566E5A">
            <w:pPr>
              <w:pStyle w:val="ListBullet"/>
            </w:pPr>
            <w:r w:rsidRPr="00566E5A">
              <w:t>techniques, such as grinding, mulling, preparation of disks, digestion, dissolving, ashing, refluxing, extraction, filtration, evaporation, flocculation, precipitation, w</w:t>
            </w:r>
            <w:r w:rsidRPr="00566E5A">
              <w:t>ashing, drying and centrifugation</w:t>
            </w:r>
          </w:p>
          <w:p w:rsidR="00000000" w:rsidRPr="00566E5A" w:rsidP="00566E5A">
            <w:pPr>
              <w:pStyle w:val="ListBullet"/>
            </w:pPr>
            <w:r w:rsidRPr="00566E5A">
              <w:t>solid-phase micro-extraction</w:t>
            </w:r>
          </w:p>
          <w:p w:rsidR="00000000" w:rsidRPr="00566E5A" w:rsidP="00566E5A">
            <w:pPr>
              <w:pStyle w:val="ListBullet"/>
            </w:pPr>
            <w:r w:rsidRPr="00566E5A">
              <w:t>determination of, and if appropriate, removal of any contaminants or impurities</w:t>
            </w:r>
          </w:p>
          <w:p w:rsidR="00000000" w:rsidRPr="00566E5A" w:rsidP="00566E5A">
            <w:pPr>
              <w:pStyle w:val="ListBullet"/>
            </w:pPr>
            <w:r w:rsidRPr="00566E5A">
              <w:t>ultra-trace procedures requiring high purity solvents, clean rooms, ultra clean glassware and specialised glasswa</w:t>
            </w:r>
            <w:r w:rsidRPr="00566E5A">
              <w:t>re</w:t>
            </w:r>
          </w:p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Safe work practices include, but are not limited to, one or more of:</w:t>
            </w:r>
          </w:p>
          <w:p w:rsidR="00000000" w:rsidRPr="00566E5A" w:rsidP="00566E5A">
            <w:pPr>
              <w:pStyle w:val="ListBullet"/>
            </w:pPr>
            <w:r w:rsidRPr="00566E5A">
              <w:t>ensuring access to service shut-off points</w:t>
            </w:r>
          </w:p>
          <w:p w:rsidR="00000000" w:rsidRPr="00566E5A" w:rsidP="00566E5A">
            <w:pPr>
              <w:pStyle w:val="ListBullet"/>
            </w:pPr>
            <w:r w:rsidRPr="00566E5A">
              <w:t>recognising and observing hazard warnings and safety signs</w:t>
            </w:r>
          </w:p>
          <w:p w:rsidR="00000000" w:rsidRPr="00566E5A" w:rsidP="00566E5A">
            <w:pPr>
              <w:pStyle w:val="ListBullet"/>
            </w:pPr>
            <w:r w:rsidRPr="00566E5A">
              <w:t>labelling of samples, reagents, aliquoted samples and hazardous materials</w:t>
            </w:r>
          </w:p>
          <w:p w:rsidR="00000000" w:rsidRPr="00566E5A" w:rsidP="00566E5A">
            <w:pPr>
              <w:pStyle w:val="ListBullet"/>
            </w:pPr>
            <w:r w:rsidRPr="00566E5A">
              <w:t>handling and storage of hazardous materials and equipment in accordance with labelling, MSDS and manufacturer instructions</w:t>
            </w:r>
          </w:p>
          <w:p w:rsidR="00000000" w:rsidRPr="00566E5A" w:rsidP="00566E5A">
            <w:pPr>
              <w:pStyle w:val="ListBullet"/>
            </w:pPr>
            <w:r w:rsidRPr="00566E5A">
              <w:t>identifying and reporting operating problems or equipment m</w:t>
            </w:r>
            <w:r w:rsidRPr="00566E5A">
              <w:t>alfunctions</w:t>
            </w:r>
          </w:p>
          <w:p w:rsidR="00000000" w:rsidRPr="00566E5A" w:rsidP="00566E5A">
            <w:pPr>
              <w:pStyle w:val="ListBullet"/>
            </w:pPr>
            <w:r w:rsidRPr="00566E5A">
              <w:t>cleaning and decontaminating equipment and work areas regularly using workplace procedures</w:t>
            </w:r>
          </w:p>
          <w:p w:rsidR="00000000" w:rsidRPr="00566E5A" w:rsidP="00566E5A">
            <w:pPr>
              <w:pStyle w:val="ListBullet"/>
            </w:pPr>
            <w:r w:rsidRPr="00566E5A">
              <w:t>using PPE, such as gloves, safety glasses, coveralls and gowns</w:t>
            </w:r>
          </w:p>
          <w:p w:rsidR="00000000" w:rsidRPr="00566E5A" w:rsidP="00566E5A">
            <w:pPr>
              <w:pStyle w:val="ListBullet"/>
            </w:pPr>
            <w:r w:rsidRPr="00566E5A">
              <w:t xml:space="preserve">reporting abnormal emissions, discharges and airborne contaminants, such as noise, light, </w:t>
            </w:r>
            <w:r w:rsidRPr="00566E5A">
              <w:t xml:space="preserve">solids, liquids, water/wastewater, gases, smoke, vapour, fumes, odour </w:t>
            </w:r>
            <w:r w:rsidRPr="00566E5A">
              <w:t>and particulates, to appropriate personnel</w:t>
            </w:r>
          </w:p>
          <w:p w:rsidR="00000000" w:rsidP="00566E5A">
            <w:pPr>
              <w:pStyle w:val="BodyText"/>
              <w:rPr>
                <w:lang w:val="en-NZ"/>
              </w:rPr>
            </w:pPr>
          </w:p>
        </w:tc>
      </w:tr>
      <w:tr w:rsidTr="009610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5A">
            <w:pPr>
              <w:pStyle w:val="BodyText"/>
              <w:rPr>
                <w:lang w:val="en-NZ"/>
              </w:rPr>
            </w:pPr>
            <w:r w:rsidRPr="00566E5A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5A" w:rsidP="00566E5A">
            <w:pPr>
              <w:pStyle w:val="BodyText"/>
            </w:pPr>
            <w:r w:rsidRPr="00566E5A">
              <w:t>WHS and environmental management requirements include:</w:t>
            </w:r>
          </w:p>
          <w:p w:rsidR="00000000" w:rsidRPr="00566E5A" w:rsidP="00566E5A">
            <w:pPr>
              <w:pStyle w:val="BodyText"/>
            </w:pPr>
            <w:r w:rsidRPr="00566E5A">
              <w:rPr>
                <w:rStyle w:val="Symbols"/>
              </w:rPr>
              <w:t></w:t>
            </w:r>
            <w:r w:rsidRPr="00566E5A">
              <w:rPr>
                <w:rStyle w:val="Symbols"/>
              </w:rPr>
              <w:tab/>
            </w:r>
            <w:r w:rsidRPr="00566E5A">
              <w:t xml:space="preserve">complying with WHS and environmental </w:t>
            </w:r>
            <w:r w:rsidRPr="00566E5A">
              <w:t>management requirements at all times, which may be imposed through state/territory or federal legislation. These requirements must not be compromised at any time</w:t>
            </w:r>
          </w:p>
          <w:p w:rsidR="00000000" w:rsidRPr="00566E5A" w:rsidP="00566E5A">
            <w:pPr>
              <w:pStyle w:val="BodyText"/>
            </w:pPr>
            <w:r w:rsidRPr="00566E5A">
              <w:rPr>
                <w:rStyle w:val="Symbols"/>
              </w:rPr>
              <w:t></w:t>
            </w:r>
            <w:r w:rsidRPr="00566E5A">
              <w:rPr>
                <w:rStyle w:val="Symbols"/>
              </w:rPr>
              <w:tab/>
            </w:r>
            <w:r w:rsidRPr="00566E5A">
              <w:t>applying standard precautions relating to the potentially hazardous nature of samples</w:t>
            </w:r>
          </w:p>
          <w:p w:rsidR="00000000" w:rsidRPr="00566E5A" w:rsidP="00566E5A">
            <w:pPr>
              <w:pStyle w:val="ListBullet"/>
            </w:pPr>
            <w:r w:rsidRPr="00566E5A">
              <w:t>acces</w:t>
            </w:r>
            <w:r w:rsidRPr="00566E5A">
              <w:t>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566E5A" w:rsidP="00566E5A">
      <w:pPr>
        <w:pStyle w:val="BodyText"/>
      </w:pPr>
    </w:p>
    <w:p w:rsidR="00000000" w:rsidRPr="00566E5A" w:rsidP="00566E5A">
      <w:pPr>
        <w:pStyle w:val="AllowPageBreak"/>
      </w:pPr>
    </w:p>
    <w:p w:rsidR="00000000" w:rsidRPr="00566E5A" w:rsidP="00566E5A">
      <w:pPr>
        <w:pStyle w:val="Heading1"/>
      </w:pPr>
      <w:bookmarkStart w:id="9" w:name="O_901877"/>
      <w:bookmarkEnd w:id="9"/>
      <w:r w:rsidRPr="00566E5A">
        <w:t>Unit Mapping Information</w:t>
      </w:r>
    </w:p>
    <w:p w:rsidR="00000000" w:rsidRPr="00566E5A" w:rsidP="00961052">
      <w:pPr>
        <w:pStyle w:val="BodyText"/>
      </w:pPr>
      <w:r w:rsidRPr="00566E5A">
        <w:t>Release 1. Supersedes and is equivalent to MSL975019A Apply complex instrumental techniques</w:t>
      </w:r>
    </w:p>
    <w:p w:rsidR="00000000" w:rsidRPr="00566E5A" w:rsidP="00566E5A">
      <w:pPr>
        <w:pStyle w:val="Heading1"/>
      </w:pPr>
      <w:bookmarkStart w:id="10" w:name="O_901870"/>
      <w:bookmarkEnd w:id="10"/>
      <w:r w:rsidRPr="00566E5A">
        <w:t>Links</w:t>
      </w:r>
    </w:p>
    <w:p w:rsidR="00000000" w:rsidRPr="00566E5A" w:rsidP="00961052">
      <w:pPr>
        <w:pStyle w:val="BodyText"/>
      </w:pPr>
      <w:r w:rsidRPr="00566E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B089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66E5A" w:rsidP="00961052">
      <w:pPr>
        <w:pStyle w:val="BodyText"/>
        <w:sectPr w:rsidSect="00566E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6E5A" w:rsidP="00566E5A">
      <w:pPr>
        <w:pStyle w:val="SuperHeading"/>
      </w:pPr>
      <w:r w:rsidRPr="00566E5A">
        <w:t>Assessment Requirements for MSL975019 Apply complex instrumental techniques</w:t>
      </w:r>
    </w:p>
    <w:p w:rsidR="00000000" w:rsidRPr="00566E5A" w:rsidP="00566E5A">
      <w:pPr>
        <w:pStyle w:val="Heading1"/>
      </w:pPr>
      <w:bookmarkStart w:id="11" w:name="O_901872"/>
      <w:bookmarkEnd w:id="11"/>
      <w:r w:rsidRPr="00566E5A">
        <w:t>Modification History</w:t>
      </w:r>
    </w:p>
    <w:p w:rsidR="00000000" w:rsidRPr="00566E5A" w:rsidP="00961052">
      <w:pPr>
        <w:pStyle w:val="BodyText"/>
      </w:pPr>
      <w:r w:rsidRPr="00566E5A">
        <w:t>Release 1. Supersedes and is equivalent to MSL975019A Apply complex instrumental techniques</w:t>
      </w:r>
    </w:p>
    <w:p w:rsidR="00000000" w:rsidRPr="00566E5A" w:rsidP="00566E5A">
      <w:pPr>
        <w:pStyle w:val="Heading1"/>
      </w:pPr>
      <w:bookmarkStart w:id="12" w:name="O_901875"/>
      <w:bookmarkEnd w:id="12"/>
      <w:r w:rsidRPr="00566E5A">
        <w:t>Performance Evidence</w:t>
      </w:r>
    </w:p>
    <w:p w:rsidR="00000000" w:rsidRPr="00566E5A" w:rsidP="00961052">
      <w:pPr>
        <w:pStyle w:val="BodyText"/>
      </w:pPr>
      <w:r w:rsidRPr="00566E5A">
        <w:t>Evidence of competence in this unit must satisfy all of the requirements of the elements and performance criteria, and include demonstration of:</w:t>
      </w:r>
    </w:p>
    <w:p w:rsidR="00000000" w:rsidRPr="00566E5A" w:rsidP="00566E5A">
      <w:pPr>
        <w:pStyle w:val="ListBullet"/>
      </w:pPr>
      <w:r w:rsidRPr="00566E5A">
        <w:t>using a specialised analytical instrument to analyse complex samples an</w:t>
      </w:r>
      <w:r w:rsidRPr="00566E5A">
        <w:t>d obtain valid and reliable data on at least three (3) occasions</w:t>
      </w:r>
    </w:p>
    <w:p w:rsidR="00000000" w:rsidRPr="00566E5A" w:rsidP="00566E5A">
      <w:pPr>
        <w:pStyle w:val="ListBullet"/>
      </w:pPr>
      <w:r w:rsidRPr="00566E5A">
        <w:t>accurately interpreting client requests and test methods/procedures</w:t>
      </w:r>
    </w:p>
    <w:p w:rsidR="00000000" w:rsidRPr="00566E5A" w:rsidP="00566E5A">
      <w:pPr>
        <w:pStyle w:val="ListBullet"/>
      </w:pPr>
      <w:r w:rsidRPr="00566E5A">
        <w:t>establishing client needs for routine and non-routine samples</w:t>
      </w:r>
    </w:p>
    <w:p w:rsidR="00000000" w:rsidRPr="00566E5A" w:rsidP="00566E5A">
      <w:pPr>
        <w:pStyle w:val="ListBullet"/>
      </w:pPr>
      <w:r w:rsidRPr="00566E5A">
        <w:t>safely setting up, operating and shutting down equipment</w:t>
      </w:r>
    </w:p>
    <w:p w:rsidR="00000000" w:rsidRPr="00566E5A" w:rsidP="00566E5A">
      <w:pPr>
        <w:pStyle w:val="ListBullet"/>
      </w:pPr>
      <w:r w:rsidRPr="00566E5A">
        <w:t>checking calibration and qualification status of equipment</w:t>
      </w:r>
    </w:p>
    <w:p w:rsidR="00000000" w:rsidRPr="00566E5A" w:rsidP="00566E5A">
      <w:pPr>
        <w:pStyle w:val="ListBullet"/>
      </w:pPr>
      <w:r w:rsidRPr="00566E5A">
        <w:t>preparing samples and standards</w:t>
      </w:r>
    </w:p>
    <w:p w:rsidR="00000000" w:rsidRPr="00566E5A" w:rsidP="00566E5A">
      <w:pPr>
        <w:pStyle w:val="ListBullet"/>
      </w:pPr>
      <w:r w:rsidRPr="00566E5A">
        <w:t>assembling and optimising instrument sub-systems</w:t>
      </w:r>
    </w:p>
    <w:p w:rsidR="00000000" w:rsidRPr="00566E5A" w:rsidP="00566E5A">
      <w:pPr>
        <w:pStyle w:val="ListBullet"/>
      </w:pPr>
      <w:r w:rsidRPr="00566E5A">
        <w:t>optimising a specialised analytical instrument and/or procedures for specific samples</w:t>
      </w:r>
    </w:p>
    <w:p w:rsidR="00000000" w:rsidRPr="00566E5A" w:rsidP="00566E5A">
      <w:pPr>
        <w:pStyle w:val="ListBullet"/>
      </w:pPr>
      <w:r w:rsidRPr="00566E5A">
        <w:t>interpreting data, recognising</w:t>
      </w:r>
      <w:r w:rsidRPr="00566E5A">
        <w:t xml:space="preserve"> atypical test data and results and making relevant conclusions</w:t>
      </w:r>
    </w:p>
    <w:p w:rsidR="00000000" w:rsidRPr="00566E5A" w:rsidP="00566E5A">
      <w:pPr>
        <w:pStyle w:val="ListBullet"/>
      </w:pPr>
      <w:r w:rsidRPr="00566E5A">
        <w:t>troubleshooting common analytical procedure and equipment problems</w:t>
      </w:r>
    </w:p>
    <w:p w:rsidR="00000000" w:rsidRPr="00566E5A" w:rsidP="00566E5A">
      <w:pPr>
        <w:pStyle w:val="ListBullet"/>
      </w:pPr>
      <w:r w:rsidRPr="00566E5A">
        <w:t>preparing and using calibration charts and standards</w:t>
      </w:r>
    </w:p>
    <w:p w:rsidR="00000000" w:rsidRPr="00566E5A" w:rsidP="00566E5A">
      <w:pPr>
        <w:pStyle w:val="ListBullet"/>
      </w:pPr>
      <w:r w:rsidRPr="00566E5A">
        <w:t>identifying and calculating potential sources of uncertainty</w:t>
      </w:r>
    </w:p>
    <w:p w:rsidR="00000000" w:rsidRPr="00566E5A" w:rsidP="00566E5A">
      <w:pPr>
        <w:pStyle w:val="ListBullet"/>
      </w:pPr>
      <w:r w:rsidRPr="00566E5A">
        <w:t>calculating</w:t>
      </w:r>
      <w:r w:rsidRPr="00566E5A">
        <w:t xml:space="preserve"> analyte concentrations using appropriate equations, units, uncertainties and precision</w:t>
      </w:r>
    </w:p>
    <w:p w:rsidR="00000000" w:rsidRPr="00566E5A" w:rsidP="00566E5A">
      <w:pPr>
        <w:pStyle w:val="ListBullet"/>
      </w:pPr>
      <w:r w:rsidRPr="00566E5A">
        <w:t>recording and reporting data and results using workplace procedures</w:t>
      </w:r>
    </w:p>
    <w:p w:rsidR="00000000" w:rsidRPr="00566E5A" w:rsidP="00566E5A">
      <w:pPr>
        <w:pStyle w:val="ListBullet"/>
      </w:pPr>
      <w:r w:rsidRPr="00566E5A">
        <w:t>maintaining security, integrity and traceability of samples and documentation</w:t>
      </w:r>
    </w:p>
    <w:p w:rsidR="00000000" w:rsidRPr="00566E5A" w:rsidP="00566E5A">
      <w:pPr>
        <w:pStyle w:val="ListBullet"/>
      </w:pPr>
      <w:r w:rsidRPr="00566E5A">
        <w:t>following workplace sa</w:t>
      </w:r>
      <w:r w:rsidRPr="00566E5A">
        <w:t>fety procedures.</w:t>
      </w:r>
    </w:p>
    <w:p w:rsidR="00000000" w:rsidRPr="00566E5A" w:rsidP="00566E5A">
      <w:pPr>
        <w:pStyle w:val="AllowPageBreak"/>
      </w:pPr>
    </w:p>
    <w:p w:rsidR="00000000" w:rsidRPr="00566E5A" w:rsidP="00566E5A">
      <w:pPr>
        <w:pStyle w:val="Heading1"/>
      </w:pPr>
      <w:bookmarkStart w:id="13" w:name="O_901874"/>
      <w:bookmarkEnd w:id="13"/>
      <w:r w:rsidRPr="00566E5A">
        <w:t>Knowledge Evidence</w:t>
      </w:r>
    </w:p>
    <w:p w:rsidR="00000000" w:rsidRPr="00566E5A" w:rsidP="00961052">
      <w:pPr>
        <w:pStyle w:val="BodyText"/>
      </w:pPr>
      <w:r w:rsidRPr="00566E5A">
        <w:t>Must provide evidence that demonstrates knowledge of:</w:t>
      </w:r>
    </w:p>
    <w:p w:rsidR="00000000" w:rsidRPr="00566E5A" w:rsidP="00566E5A">
      <w:pPr>
        <w:pStyle w:val="ListBullet"/>
      </w:pPr>
      <w:r w:rsidRPr="00566E5A">
        <w:t>principles and concepts associated with a specialised analytical instrument’s operation and analytical procedure or test method</w:t>
      </w:r>
    </w:p>
    <w:p w:rsidR="00000000" w:rsidRPr="00566E5A" w:rsidP="00566E5A">
      <w:pPr>
        <w:pStyle w:val="ListBullet"/>
      </w:pPr>
      <w:r w:rsidRPr="00566E5A">
        <w:t>handling of unstable</w:t>
      </w:r>
      <w:r w:rsidRPr="00566E5A">
        <w:t xml:space="preserve"> or hazardous chemicals and samples and the fragile and labile nature of biological materials</w:t>
      </w:r>
    </w:p>
    <w:p w:rsidR="00000000" w:rsidRPr="00566E5A" w:rsidP="00566E5A">
      <w:pPr>
        <w:pStyle w:val="ListBullet"/>
      </w:pPr>
      <w:r w:rsidRPr="00566E5A">
        <w:t>sample preparation procedures</w:t>
      </w:r>
    </w:p>
    <w:p w:rsidR="00000000" w:rsidRPr="00566E5A" w:rsidP="00566E5A">
      <w:pPr>
        <w:pStyle w:val="ListBullet"/>
      </w:pPr>
      <w:r w:rsidRPr="00566E5A">
        <w:t>functions of key components and s</w:t>
      </w:r>
      <w:r w:rsidRPr="00566E5A">
        <w:t>ub-systems of the instrument and the effects on outputs and results of modifying instrumental variables</w:t>
      </w:r>
    </w:p>
    <w:p w:rsidR="00000000" w:rsidRPr="00566E5A" w:rsidP="00566E5A">
      <w:pPr>
        <w:pStyle w:val="ListBullet"/>
      </w:pPr>
      <w:r w:rsidRPr="00566E5A">
        <w:t>procedures for optimising instrument performance</w:t>
      </w:r>
    </w:p>
    <w:p w:rsidR="00000000" w:rsidRPr="00566E5A" w:rsidP="00566E5A">
      <w:pPr>
        <w:pStyle w:val="ListBullet"/>
      </w:pPr>
      <w:r w:rsidRPr="00566E5A">
        <w:t>basic procedure and equipment troubleshooting techniques</w:t>
      </w:r>
    </w:p>
    <w:p w:rsidR="00000000" w:rsidRPr="00566E5A" w:rsidP="00566E5A">
      <w:pPr>
        <w:pStyle w:val="ListBullet"/>
      </w:pPr>
      <w:r w:rsidRPr="00566E5A">
        <w:t>common analytical procedure and equipment prob</w:t>
      </w:r>
      <w:r w:rsidRPr="00566E5A">
        <w:t>lems, such as:</w:t>
      </w:r>
    </w:p>
    <w:p w:rsidR="00000000" w:rsidRPr="00566E5A" w:rsidP="00566E5A">
      <w:pPr>
        <w:pStyle w:val="ListBullet2"/>
      </w:pPr>
      <w:r w:rsidRPr="00566E5A">
        <w:t>sample introduction blockages</w:t>
      </w:r>
    </w:p>
    <w:p w:rsidR="00000000" w:rsidRPr="00566E5A" w:rsidP="00566E5A">
      <w:pPr>
        <w:pStyle w:val="ListBullet2"/>
      </w:pPr>
      <w:r w:rsidRPr="00566E5A">
        <w:t>incomplete atomisation of analyte</w:t>
      </w:r>
    </w:p>
    <w:p w:rsidR="00000000" w:rsidRPr="00566E5A" w:rsidP="00566E5A">
      <w:pPr>
        <w:pStyle w:val="ListBullet2"/>
      </w:pPr>
      <w:r w:rsidRPr="00566E5A">
        <w:t>poor resolution of peaks</w:t>
      </w:r>
    </w:p>
    <w:p w:rsidR="00000000" w:rsidRPr="00566E5A" w:rsidP="00566E5A">
      <w:pPr>
        <w:pStyle w:val="ListBullet2"/>
      </w:pPr>
      <w:r w:rsidRPr="00566E5A">
        <w:t>poor sensitivity</w:t>
      </w:r>
    </w:p>
    <w:p w:rsidR="00000000" w:rsidRPr="00566E5A" w:rsidP="00566E5A">
      <w:pPr>
        <w:pStyle w:val="ListBullet"/>
      </w:pPr>
      <w:r w:rsidRPr="00566E5A">
        <w:t>calculation steps to give results in appropriate accuracy, precision, uncertainty and units</w:t>
      </w:r>
    </w:p>
    <w:p w:rsidR="00000000" w:rsidRPr="00566E5A" w:rsidP="00566E5A">
      <w:pPr>
        <w:pStyle w:val="ListBullet"/>
      </w:pPr>
      <w:r w:rsidRPr="00566E5A">
        <w:t>basic equipment maintenance procedures</w:t>
      </w:r>
    </w:p>
    <w:p w:rsidR="00000000" w:rsidRPr="00566E5A" w:rsidP="00566E5A">
      <w:pPr>
        <w:pStyle w:val="ListBullet"/>
      </w:pPr>
      <w:r w:rsidRPr="00566E5A">
        <w:t>wo</w:t>
      </w:r>
      <w:r w:rsidRPr="00566E5A">
        <w:t>rkplace and legal traceability requirements</w:t>
      </w:r>
    </w:p>
    <w:p w:rsidR="00000000" w:rsidRPr="00566E5A" w:rsidP="00566E5A">
      <w:pPr>
        <w:pStyle w:val="ListBullet"/>
      </w:pPr>
      <w:r w:rsidRPr="00566E5A">
        <w:t>relevant hazards, work health and safety (WHS) and environment requirements.</w:t>
      </w:r>
    </w:p>
    <w:p w:rsidR="00000000" w:rsidRPr="00566E5A" w:rsidP="00566E5A">
      <w:pPr>
        <w:pStyle w:val="AllowPageBreak"/>
      </w:pPr>
    </w:p>
    <w:p w:rsidR="00000000" w:rsidRPr="00566E5A" w:rsidP="00566E5A">
      <w:pPr>
        <w:pStyle w:val="Heading1"/>
      </w:pPr>
      <w:bookmarkStart w:id="14" w:name="O_901873"/>
      <w:bookmarkEnd w:id="14"/>
      <w:r w:rsidRPr="00566E5A">
        <w:t>Assessment Conditions</w:t>
      </w:r>
    </w:p>
    <w:p w:rsidR="00000000" w:rsidRPr="00566E5A" w:rsidP="00566E5A">
      <w:pPr>
        <w:pStyle w:val="ListBullet"/>
      </w:pPr>
      <w:r w:rsidRPr="00566E5A">
        <w:t>Judgment of competence must be based on holistic asses</w:t>
      </w:r>
      <w:r w:rsidRPr="00566E5A">
        <w:t xml:space="preserve">sment of the evidence. Assessment methods must confirm consistency of performance over time, rather than a single assessment event. </w:t>
      </w:r>
    </w:p>
    <w:p w:rsidR="00000000" w:rsidRPr="00566E5A" w:rsidP="00566E5A">
      <w:pPr>
        <w:pStyle w:val="ListBullet"/>
      </w:pPr>
      <w:r w:rsidRPr="00566E5A">
        <w:t>This unit of competency is to be assessed in the workplace or a simulated workplace environment. A simulated workplace envi</w:t>
      </w:r>
      <w:r w:rsidRPr="00566E5A">
        <w:t xml:space="preserve">ronment must reflect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566E5A" w:rsidP="00566E5A">
      <w:pPr>
        <w:pStyle w:val="ListBullet"/>
      </w:pPr>
      <w:r w:rsidRPr="00566E5A">
        <w:t>Foundation ski</w:t>
      </w:r>
      <w:r w:rsidRPr="00566E5A">
        <w:t xml:space="preserve">lls are integral to competent performance of the unit and should not be assessed separately. </w:t>
      </w:r>
    </w:p>
    <w:p w:rsidR="00000000" w:rsidRPr="00566E5A" w:rsidP="00566E5A">
      <w:pPr>
        <w:pStyle w:val="ListBullet"/>
      </w:pPr>
      <w:r w:rsidRPr="00566E5A">
        <w:t>Assessment processes and techniques must be appropriate to the language, literacy and numeracy requirements of the work being performed and the needs of the candi</w:t>
      </w:r>
      <w:r w:rsidRPr="00566E5A">
        <w:t>date.</w:t>
      </w:r>
    </w:p>
    <w:p w:rsidR="00000000" w:rsidRPr="00566E5A" w:rsidP="00566E5A">
      <w:pPr>
        <w:pStyle w:val="ListBullet"/>
      </w:pPr>
      <w:r w:rsidRPr="00566E5A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566E5A" w:rsidP="00566E5A">
      <w:pPr>
        <w:pStyle w:val="ListBullet"/>
      </w:pPr>
      <w:r w:rsidRPr="00566E5A">
        <w:t>This unit of competency may be assessed with:</w:t>
      </w:r>
      <w:r w:rsidRPr="00566E5A">
        <w:t xml:space="preserve"> </w:t>
      </w:r>
    </w:p>
    <w:p w:rsidR="00000000" w:rsidRPr="00566E5A" w:rsidP="00566E5A">
      <w:pPr>
        <w:pStyle w:val="ListBullet2"/>
      </w:pPr>
      <w:r w:rsidRPr="00566E5A">
        <w:rPr>
          <w:rStyle w:val="Emphasis"/>
        </w:rPr>
        <w:t>MSL925001 Analyse data and report results</w:t>
      </w:r>
    </w:p>
    <w:p w:rsidR="00000000" w:rsidRPr="00566E5A" w:rsidP="00566E5A">
      <w:pPr>
        <w:pStyle w:val="ListBullet"/>
      </w:pPr>
      <w:r w:rsidRPr="00566E5A">
        <w:t>Holistic assessment methods include:</w:t>
      </w:r>
    </w:p>
    <w:p w:rsidR="00000000" w:rsidRPr="00566E5A" w:rsidP="00566E5A">
      <w:pPr>
        <w:pStyle w:val="ListBullet2"/>
      </w:pPr>
      <w:r w:rsidRPr="00566E5A">
        <w:t>review of test data/results obtained by the candidate over time to ensure accuracy and consistency of results</w:t>
      </w:r>
    </w:p>
    <w:p w:rsidR="00000000" w:rsidRPr="00566E5A" w:rsidP="00566E5A">
      <w:pPr>
        <w:pStyle w:val="ListBullet2"/>
      </w:pPr>
      <w:r w:rsidRPr="00566E5A">
        <w:t>inspection of test records and workplace documentation completed by the candidate</w:t>
      </w:r>
    </w:p>
    <w:p w:rsidR="00000000" w:rsidRPr="00566E5A" w:rsidP="00566E5A">
      <w:pPr>
        <w:pStyle w:val="ListBullet2"/>
      </w:pPr>
      <w:r w:rsidRPr="00566E5A">
        <w:t>observation of candidate using specialised instruments to measure analytes</w:t>
      </w:r>
    </w:p>
    <w:p w:rsidR="00000000" w:rsidRPr="00566E5A" w:rsidP="00566E5A">
      <w:pPr>
        <w:pStyle w:val="ListBullet2"/>
      </w:pPr>
      <w:r w:rsidRPr="00566E5A">
        <w:t>feedback from clients, peers and supervisors about the candidate’</w:t>
      </w:r>
      <w:r w:rsidRPr="00566E5A">
        <w:t>s ability to provide valid and reliable results within expected timeframes</w:t>
      </w:r>
    </w:p>
    <w:p w:rsidR="00000000" w:rsidRPr="00566E5A" w:rsidP="00566E5A">
      <w:pPr>
        <w:pStyle w:val="ListBullet2"/>
      </w:pPr>
      <w:r w:rsidRPr="00566E5A">
        <w:t>oral or written questioning of relevant chemical principles, concepts, analytical techniques and workplace procedures.</w:t>
      </w:r>
    </w:p>
    <w:p w:rsidR="00000000" w:rsidRPr="00566E5A" w:rsidP="00566E5A">
      <w:pPr>
        <w:pStyle w:val="ListBullet"/>
      </w:pPr>
      <w:r w:rsidRPr="00566E5A">
        <w:t>Access is required to instruments, equipment, materials, work</w:t>
      </w:r>
      <w:r w:rsidRPr="00566E5A">
        <w:t>place documentation, procedures and specifications associated with this unit, including, but not limited to:</w:t>
      </w:r>
    </w:p>
    <w:p w:rsidR="00000000" w:rsidRPr="00566E5A" w:rsidP="00566E5A">
      <w:pPr>
        <w:pStyle w:val="ListBullet2"/>
      </w:pPr>
      <w:r w:rsidRPr="00566E5A">
        <w:t>a standard laboratory with specialised analytical instruments, laboratory reagents and equipment, standard operating procedures (SOPs) and test me</w:t>
      </w:r>
      <w:r w:rsidRPr="00566E5A">
        <w:t>thods.</w:t>
      </w:r>
    </w:p>
    <w:p w:rsidR="00000000" w:rsidRPr="00566E5A" w:rsidP="00566E5A">
      <w:pPr>
        <w:pStyle w:val="ListBullet"/>
      </w:pPr>
      <w:r w:rsidRPr="00566E5A">
        <w:t xml:space="preserve">Assessors must satisfy the assessor competency requirements that are in place at the time of the assessment as set by the VET regulator.  </w:t>
      </w:r>
    </w:p>
    <w:p w:rsidR="00000000" w:rsidRPr="00566E5A" w:rsidP="00566E5A">
      <w:pPr>
        <w:pStyle w:val="ListBullet"/>
      </w:pPr>
      <w:r w:rsidRPr="00566E5A">
        <w:t>The assessor must demonstrate both technical competence and currency.</w:t>
      </w:r>
    </w:p>
    <w:p w:rsidR="00000000" w:rsidRPr="00566E5A" w:rsidP="00566E5A">
      <w:pPr>
        <w:pStyle w:val="ListBullet"/>
      </w:pPr>
      <w:r w:rsidRPr="00566E5A">
        <w:t>Technical competence can be demonstrate</w:t>
      </w:r>
      <w:r w:rsidRPr="00566E5A">
        <w:t>d through:</w:t>
      </w:r>
    </w:p>
    <w:p w:rsidR="00000000" w:rsidRPr="00566E5A" w:rsidP="00566E5A">
      <w:pPr>
        <w:pStyle w:val="ListBullet2"/>
      </w:pPr>
      <w:r w:rsidRPr="00566E5A">
        <w:t>relevant VET or other qualification/Statement of Attainment AND/OR</w:t>
      </w:r>
    </w:p>
    <w:p w:rsidR="00000000" w:rsidRPr="00566E5A" w:rsidP="00566E5A">
      <w:pPr>
        <w:pStyle w:val="ListBullet2"/>
      </w:pPr>
      <w:r w:rsidRPr="00566E5A">
        <w:t>relevant workplace experience.</w:t>
      </w:r>
    </w:p>
    <w:p w:rsidR="00000000" w:rsidRPr="00566E5A" w:rsidP="00566E5A">
      <w:pPr>
        <w:pStyle w:val="ListBullet"/>
      </w:pPr>
      <w:r w:rsidRPr="00566E5A">
        <w:t>Currency can be demonstrated through:</w:t>
      </w:r>
    </w:p>
    <w:p w:rsidR="00000000" w:rsidRPr="00566E5A" w:rsidP="00566E5A">
      <w:pPr>
        <w:pStyle w:val="ListBullet2"/>
      </w:pPr>
      <w:r w:rsidRPr="00566E5A">
        <w:t>performing the competency being assessed as part of current employment OR</w:t>
      </w:r>
    </w:p>
    <w:p w:rsidR="00000000" w:rsidRPr="00566E5A" w:rsidP="00566E5A">
      <w:pPr>
        <w:pStyle w:val="ListBullet2"/>
      </w:pPr>
      <w:r w:rsidRPr="00566E5A">
        <w:t>having consulted with a laborato</w:t>
      </w:r>
      <w:r w:rsidRPr="00566E5A">
        <w:t>ry about performing the competency being assessed within the last twelve months.</w:t>
      </w:r>
    </w:p>
    <w:p w:rsidR="00000000" w:rsidRPr="00566E5A" w:rsidP="00566E5A">
      <w:pPr>
        <w:pStyle w:val="AllowPageBreak"/>
      </w:pPr>
    </w:p>
    <w:p w:rsidR="00000000" w:rsidRPr="00566E5A" w:rsidP="00566E5A">
      <w:pPr>
        <w:pStyle w:val="Heading1"/>
      </w:pPr>
      <w:bookmarkStart w:id="15" w:name="O_901871"/>
      <w:bookmarkEnd w:id="15"/>
      <w:r w:rsidRPr="00566E5A">
        <w:t>Links</w:t>
      </w:r>
    </w:p>
    <w:p w:rsidR="00000000" w:rsidRPr="00566E5A" w:rsidP="00961052">
      <w:pPr>
        <w:pStyle w:val="BodyText"/>
      </w:pPr>
      <w:r w:rsidRPr="00566E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B089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66E5A" w:rsidP="00566E5A"/>
    <w:sectPr w:rsidSect="00566E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5A" w:rsidRPr="00961052" w:rsidP="009610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52" w:rsidP="00566E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61052" w:rsidP="00566E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61052" w:rsidP="00566E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5A" w:rsidP="00566E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1052">
      <w:t>Approved</w:t>
    </w:r>
    <w:r w:rsidR="009610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1052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1052">
      <w:rPr>
        <w:noProof/>
      </w:rPr>
      <w:t>8</w:t>
    </w:r>
    <w:r>
      <w:rPr>
        <w:noProof/>
      </w:rPr>
      <w:fldChar w:fldCharType="end"/>
    </w:r>
  </w:p>
  <w:p w:rsidR="00566E5A" w:rsidP="00566E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10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1052">
      <w:t>Manufacturing Industry Skills Alliance</w:t>
    </w:r>
    <w:r w:rsidR="00961052">
      <w:fldChar w:fldCharType="end"/>
    </w:r>
  </w:p>
  <w:p w:rsidR="00566E5A" w:rsidP="00566E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E5A" w:rsidRPr="00961052" w:rsidP="009610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52" w:rsidRPr="002D2AF8" w:rsidP="00566E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MSL975019 Apply complex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1052" w:rsidP="00566E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5A" w:rsidRPr="002D2AF8" w:rsidP="00566E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1052">
      <w:t>MSL975019 Apply complex instrumental techniques</w:t>
    </w:r>
    <w:r w:rsidR="009610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1052">
      <w:rPr>
        <w:noProof/>
      </w:rPr>
      <w:t>2 March 2025</w:t>
    </w:r>
    <w:r>
      <w:fldChar w:fldCharType="end"/>
    </w:r>
  </w:p>
  <w:p w:rsidR="00566E5A" w:rsidP="00566E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D4C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AAE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3C6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E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E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E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E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E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E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E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E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E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E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E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E5A"/>
  </w:style>
  <w:style w:type="character" w:customStyle="1" w:styleId="Heading1Char">
    <w:name w:val="Heading 1 Char"/>
    <w:basedOn w:val="DefaultParagraphFont"/>
    <w:link w:val="Heading1"/>
    <w:rsid w:val="00566E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E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E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E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E5A"/>
    <w:rPr>
      <w:b/>
      <w:spacing w:val="0"/>
    </w:rPr>
  </w:style>
  <w:style w:type="paragraph" w:styleId="ListBullet2">
    <w:name w:val="List Bullet 2"/>
    <w:basedOn w:val="List2"/>
    <w:rsid w:val="00566E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6E5A"/>
    <w:rPr>
      <w:i/>
    </w:rPr>
  </w:style>
  <w:style w:type="paragraph" w:customStyle="1" w:styleId="SuperHeading">
    <w:name w:val="SuperHeading"/>
    <w:basedOn w:val="Normal"/>
    <w:rsid w:val="00566E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E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66E5A"/>
    <w:rPr>
      <w:rFonts w:ascii="Symbol" w:hAnsi="Symbol"/>
    </w:rPr>
  </w:style>
  <w:style w:type="character" w:customStyle="1" w:styleId="BoldandItalics">
    <w:name w:val="Bold and Italics"/>
    <w:qFormat/>
    <w:rsid w:val="00566E5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66E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E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E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E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E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E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E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E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E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E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E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E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E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E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E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E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E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E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E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E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E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E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E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E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E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E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E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E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6E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E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E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E5A"/>
  </w:style>
  <w:style w:type="paragraph" w:styleId="TableofFigures">
    <w:name w:val="table of figures"/>
    <w:basedOn w:val="Normal"/>
    <w:next w:val="Normal"/>
    <w:semiHidden/>
    <w:rsid w:val="00566E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E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6E5A"/>
    <w:rPr>
      <w:rFonts w:ascii="Wingdings" w:hAnsi="Wingdings"/>
    </w:rPr>
  </w:style>
  <w:style w:type="paragraph" w:customStyle="1" w:styleId="TableHeading">
    <w:name w:val="Table Heading"/>
    <w:basedOn w:val="HeadingBase"/>
    <w:rsid w:val="00566E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E5A"/>
    <w:rPr>
      <w:color w:val="0033CC"/>
      <w:u w:val="none"/>
    </w:rPr>
  </w:style>
  <w:style w:type="paragraph" w:customStyle="1" w:styleId="BodyTextRight">
    <w:name w:val="Body Text Right"/>
    <w:basedOn w:val="BodyText"/>
    <w:rsid w:val="00566E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E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E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E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E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E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E5A"/>
    <w:rPr>
      <w:sz w:val="32"/>
    </w:rPr>
  </w:style>
  <w:style w:type="paragraph" w:customStyle="1" w:styleId="HeadingProcedure">
    <w:name w:val="Heading Procedure"/>
    <w:basedOn w:val="HeadingBase"/>
    <w:next w:val="Normal"/>
    <w:rsid w:val="00566E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E5A"/>
    <w:pPr>
      <w:spacing w:before="60" w:after="60"/>
    </w:pPr>
  </w:style>
  <w:style w:type="paragraph" w:styleId="ListContinue">
    <w:name w:val="List Continue"/>
    <w:basedOn w:val="List"/>
    <w:rsid w:val="00566E5A"/>
    <w:pPr>
      <w:ind w:firstLine="0"/>
    </w:pPr>
  </w:style>
  <w:style w:type="paragraph" w:customStyle="1" w:styleId="ListNote">
    <w:name w:val="List Note"/>
    <w:basedOn w:val="List"/>
    <w:rsid w:val="00566E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E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E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E5A"/>
    <w:rPr>
      <w:rFonts w:ascii="Courier New" w:hAnsi="Courier New"/>
    </w:rPr>
  </w:style>
  <w:style w:type="paragraph" w:customStyle="1" w:styleId="NoteBullet">
    <w:name w:val="Note Bullet"/>
    <w:basedOn w:val="Note"/>
    <w:rsid w:val="00566E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E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E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E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E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6E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E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E5A"/>
    <w:rPr>
      <w:b/>
      <w:smallCaps/>
    </w:rPr>
  </w:style>
  <w:style w:type="paragraph" w:customStyle="1" w:styleId="TableListNumber">
    <w:name w:val="Table List Number"/>
    <w:basedOn w:val="ListNumber"/>
    <w:rsid w:val="00566E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E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E5A"/>
    <w:pPr>
      <w:numPr>
        <w:numId w:val="9"/>
      </w:numPr>
    </w:pPr>
  </w:style>
  <w:style w:type="paragraph" w:customStyle="1" w:styleId="ListAlpha2">
    <w:name w:val="List Alpha 2"/>
    <w:basedOn w:val="List2"/>
    <w:rsid w:val="00566E5A"/>
    <w:pPr>
      <w:numPr>
        <w:numId w:val="8"/>
      </w:numPr>
    </w:pPr>
  </w:style>
  <w:style w:type="paragraph" w:styleId="List2">
    <w:name w:val="List 2"/>
    <w:basedOn w:val="BodyText"/>
    <w:rsid w:val="00566E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E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E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E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E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E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6E5A"/>
    <w:pPr>
      <w:numPr>
        <w:numId w:val="4"/>
      </w:numPr>
    </w:pPr>
  </w:style>
  <w:style w:type="paragraph" w:styleId="ListContinue2">
    <w:name w:val="List Continue 2"/>
    <w:basedOn w:val="List2"/>
    <w:rsid w:val="00566E5A"/>
    <w:pPr>
      <w:ind w:firstLine="0"/>
    </w:pPr>
  </w:style>
  <w:style w:type="paragraph" w:styleId="ListContinue3">
    <w:name w:val="List Continue 3"/>
    <w:basedOn w:val="List3"/>
    <w:rsid w:val="00566E5A"/>
    <w:pPr>
      <w:ind w:left="1021" w:firstLine="0"/>
    </w:pPr>
  </w:style>
  <w:style w:type="paragraph" w:styleId="ListContinue4">
    <w:name w:val="List Continue 4"/>
    <w:basedOn w:val="List4"/>
    <w:rsid w:val="00566E5A"/>
    <w:pPr>
      <w:ind w:firstLine="0"/>
    </w:pPr>
  </w:style>
  <w:style w:type="paragraph" w:styleId="ListContinue5">
    <w:name w:val="List Continue 5"/>
    <w:basedOn w:val="List5"/>
    <w:rsid w:val="00566E5A"/>
    <w:pPr>
      <w:ind w:firstLine="0"/>
    </w:pPr>
  </w:style>
  <w:style w:type="paragraph" w:styleId="ListNumber3">
    <w:name w:val="List Number 3"/>
    <w:basedOn w:val="List3"/>
    <w:rsid w:val="00566E5A"/>
    <w:pPr>
      <w:numPr>
        <w:numId w:val="5"/>
      </w:numPr>
    </w:pPr>
  </w:style>
  <w:style w:type="paragraph" w:styleId="ListNumber4">
    <w:name w:val="List Number 4"/>
    <w:basedOn w:val="List4"/>
    <w:rsid w:val="00566E5A"/>
    <w:pPr>
      <w:numPr>
        <w:numId w:val="6"/>
      </w:numPr>
    </w:pPr>
  </w:style>
  <w:style w:type="paragraph" w:styleId="ListNumber5">
    <w:name w:val="List Number 5"/>
    <w:basedOn w:val="List5"/>
    <w:rsid w:val="00566E5A"/>
    <w:pPr>
      <w:numPr>
        <w:numId w:val="7"/>
      </w:numPr>
    </w:pPr>
  </w:style>
  <w:style w:type="paragraph" w:styleId="BlockText">
    <w:name w:val="Block Text"/>
    <w:basedOn w:val="Normal"/>
    <w:rsid w:val="00566E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E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E5A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66E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E5A"/>
    <w:rPr>
      <w:b/>
    </w:rPr>
  </w:style>
  <w:style w:type="character" w:customStyle="1" w:styleId="Underlined">
    <w:name w:val="Underlined"/>
    <w:basedOn w:val="DefaultParagraphFont"/>
    <w:rsid w:val="00566E5A"/>
    <w:rPr>
      <w:u w:val="single"/>
    </w:rPr>
  </w:style>
  <w:style w:type="paragraph" w:customStyle="1" w:styleId="TableBodyTextRight">
    <w:name w:val="Table Body Text Right"/>
    <w:basedOn w:val="TableBodyText"/>
    <w:rsid w:val="00566E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E5A"/>
    <w:rPr>
      <w:sz w:val="18"/>
    </w:rPr>
  </w:style>
  <w:style w:type="paragraph" w:customStyle="1" w:styleId="BodySmallRight">
    <w:name w:val="Body Small Right"/>
    <w:basedOn w:val="BodyTextRight"/>
    <w:rsid w:val="00566E5A"/>
    <w:rPr>
      <w:sz w:val="18"/>
      <w:szCs w:val="18"/>
    </w:rPr>
  </w:style>
  <w:style w:type="paragraph" w:customStyle="1" w:styleId="MarginEdition">
    <w:name w:val="Margin Edition"/>
    <w:basedOn w:val="MarginNote"/>
    <w:rsid w:val="00566E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E5A"/>
    <w:rPr>
      <w:sz w:val="2"/>
      <w:szCs w:val="2"/>
    </w:rPr>
  </w:style>
  <w:style w:type="character" w:customStyle="1" w:styleId="Small">
    <w:name w:val="Small"/>
    <w:basedOn w:val="DefaultParagraphFont"/>
    <w:rsid w:val="00566E5A"/>
    <w:rPr>
      <w:sz w:val="16"/>
    </w:rPr>
  </w:style>
  <w:style w:type="paragraph" w:customStyle="1" w:styleId="WideTable">
    <w:name w:val="Wide Table"/>
    <w:basedOn w:val="Normal"/>
    <w:rsid w:val="00566E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E5A"/>
  </w:style>
  <w:style w:type="paragraph" w:styleId="Quote">
    <w:name w:val="Quote"/>
    <w:basedOn w:val="Heading1"/>
    <w:link w:val="QuoteChar"/>
    <w:qFormat/>
    <w:rsid w:val="00566E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E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E5A"/>
    <w:pPr>
      <w:pageBreakBefore/>
    </w:pPr>
  </w:style>
  <w:style w:type="paragraph" w:customStyle="1" w:styleId="Border">
    <w:name w:val="Border"/>
    <w:basedOn w:val="Normal"/>
    <w:qFormat/>
    <w:rsid w:val="00566E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E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E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E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E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E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E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E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E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E5A"/>
    <w:rPr>
      <w:u w:val="single"/>
    </w:rPr>
  </w:style>
  <w:style w:type="paragraph" w:styleId="BalloonText">
    <w:name w:val="Balloon Text"/>
    <w:basedOn w:val="Normal"/>
    <w:link w:val="BalloonTextChar"/>
    <w:rsid w:val="00566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E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E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E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E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E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E5A"/>
    <w:pPr>
      <w:spacing w:before="0" w:after="0"/>
    </w:pPr>
  </w:style>
  <w:style w:type="paragraph" w:customStyle="1" w:styleId="BodyTextBold">
    <w:name w:val="Body Text Bold"/>
    <w:basedOn w:val="BodyText"/>
    <w:qFormat/>
    <w:rsid w:val="00566E5A"/>
    <w:rPr>
      <w:b/>
    </w:rPr>
  </w:style>
  <w:style w:type="character" w:styleId="Hyperlink">
    <w:name w:val="Hyperlink"/>
    <w:basedOn w:val="DefaultParagraphFont"/>
    <w:uiPriority w:val="99"/>
    <w:unhideWhenUsed/>
    <w:rsid w:val="009610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2109</Words>
  <Characters>14407</Characters>
  <Application>Microsoft Office Word</Application>
  <DocSecurity>0</DocSecurity>
  <Lines>496</Lines>
  <Paragraphs>284</Paragraphs>
  <ScaleCrop>false</ScaleCrop>
  <Company>Author-it Software Corporation Ltd.</Company>
  <LinksUpToDate>false</LinksUpToDate>
  <CharactersWithSpaces>16232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MSL975019 Apply complex instrumental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