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0BB" w:rsidP="005D00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MSL975018 Perform complex tests to measure chemical properties of materials</w:t>
      </w:r>
      <w:r>
        <w:fldChar w:fldCharType="end"/>
      </w:r>
    </w:p>
    <w:p w:rsidR="005D00BB" w:rsidP="005D00BB">
      <w:pPr>
        <w:pStyle w:val="Version"/>
        <w:sectPr w:rsidSect="00A20F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F45" w:rsidP="00A20F45">
      <w:pPr>
        <w:pStyle w:val="SuperHeading"/>
      </w:pPr>
      <w:r w:rsidRPr="00A20F45">
        <w:t>Assessment Requirements for MSL975018 Perform complex tests to measure chemical properties of materials</w:t>
      </w:r>
    </w:p>
    <w:p w:rsidR="00000000" w:rsidRPr="00A20F45" w:rsidP="00A20F45">
      <w:pPr>
        <w:pStyle w:val="Heading1"/>
      </w:pPr>
      <w:bookmarkStart w:id="1" w:name="O_901853"/>
      <w:bookmarkEnd w:id="1"/>
      <w:r w:rsidRPr="00A20F45">
        <w:t>Modification History</w:t>
      </w:r>
    </w:p>
    <w:p w:rsidR="00000000" w:rsidRPr="00A20F45" w:rsidP="00A20F45">
      <w:pPr>
        <w:pStyle w:val="BodyText"/>
      </w:pPr>
      <w:r w:rsidRPr="00A20F45">
        <w:t>Release 1. Supersedes and is equivalent to MSL975018A Perform complex tests to measure chemical properties of materials</w:t>
      </w:r>
    </w:p>
    <w:p w:rsidR="00000000" w:rsidRPr="00A20F45" w:rsidP="00A20F45">
      <w:pPr>
        <w:pStyle w:val="AllowPageBreak"/>
      </w:pPr>
    </w:p>
    <w:p w:rsidR="00000000" w:rsidRPr="00A20F45" w:rsidP="00A20F45">
      <w:pPr>
        <w:pStyle w:val="Heading1"/>
      </w:pPr>
      <w:bookmarkStart w:id="2" w:name="O_901856"/>
      <w:bookmarkEnd w:id="2"/>
      <w:r w:rsidRPr="00A20F45">
        <w:t>Performance Evidence</w:t>
      </w:r>
    </w:p>
    <w:p w:rsidR="00000000" w:rsidRPr="00A20F45" w:rsidP="00A20F45">
      <w:pPr>
        <w:pStyle w:val="BodyText"/>
      </w:pPr>
      <w:r w:rsidRPr="00A20F45">
        <w:t>Evidence of competence in this unit must satisfy all of the requirements of the elements and perfo</w:t>
      </w:r>
      <w:r w:rsidRPr="00A20F45">
        <w:t>rmance criteria, and include demonstration of:</w:t>
      </w:r>
    </w:p>
    <w:p w:rsidR="00000000" w:rsidRPr="00A20F45" w:rsidP="00A20F45">
      <w:pPr>
        <w:pStyle w:val="ListBullet"/>
      </w:pPr>
      <w:r w:rsidRPr="00A20F45">
        <w:t>isolating analytes from complex matrices and performing multi-staged and/or multi-component analysis on them on at least three (3) different occasions</w:t>
      </w:r>
    </w:p>
    <w:p w:rsidR="00000000" w:rsidRPr="00A20F45" w:rsidP="00A20F45">
      <w:pPr>
        <w:pStyle w:val="ListBullet"/>
      </w:pPr>
      <w:r w:rsidRPr="00A20F45">
        <w:t>accurately interpreting client requests, test methods and</w:t>
      </w:r>
      <w:r w:rsidRPr="00A20F45">
        <w:t xml:space="preserve"> procedures</w:t>
      </w:r>
    </w:p>
    <w:p w:rsidR="00000000" w:rsidRPr="00A20F45" w:rsidP="00A20F45">
      <w:pPr>
        <w:pStyle w:val="ListBullet"/>
      </w:pPr>
      <w:r w:rsidRPr="00A20F45">
        <w:t>applying detailed knowledge of analytical chemistry to develop an analysis plan for approval by a supervisor</w:t>
      </w:r>
    </w:p>
    <w:p w:rsidR="00000000" w:rsidRPr="00A20F45" w:rsidP="00A20F45">
      <w:pPr>
        <w:pStyle w:val="ListBullet"/>
      </w:pPr>
      <w:r w:rsidRPr="00A20F45">
        <w:t>maintaining close attention to measurement procedures, accuracy and precision during lengthy and complex tests</w:t>
      </w:r>
    </w:p>
    <w:p w:rsidR="00000000" w:rsidRPr="00A20F45" w:rsidP="00A20F45">
      <w:pPr>
        <w:pStyle w:val="ListBullet"/>
      </w:pPr>
      <w:r w:rsidRPr="00A20F45">
        <w:t>preparing samples and st</w:t>
      </w:r>
      <w:r w:rsidRPr="00A20F45">
        <w:t xml:space="preserve">andards </w:t>
      </w:r>
    </w:p>
    <w:p w:rsidR="00000000" w:rsidRPr="00A20F45" w:rsidP="00A20F45">
      <w:pPr>
        <w:pStyle w:val="ListBullet"/>
      </w:pPr>
      <w:r w:rsidRPr="00A20F45">
        <w:t>safely setting up, starting up and shutting down equipment using workplace procedures</w:t>
      </w:r>
    </w:p>
    <w:p w:rsidR="00000000" w:rsidRPr="00A20F45" w:rsidP="00A20F45">
      <w:pPr>
        <w:pStyle w:val="ListBullet"/>
      </w:pPr>
      <w:r w:rsidRPr="00A20F45">
        <w:t>checking the calibration and qualification status of equipment</w:t>
      </w:r>
    </w:p>
    <w:p w:rsidR="00000000" w:rsidRPr="00A20F45" w:rsidP="00A20F45">
      <w:pPr>
        <w:pStyle w:val="ListBullet"/>
      </w:pPr>
      <w:r w:rsidRPr="00A20F45">
        <w:t>optimising procedures and equipment to suit sample and test requirements</w:t>
      </w:r>
    </w:p>
    <w:p w:rsidR="00000000" w:rsidRPr="00A20F45" w:rsidP="00A20F45">
      <w:pPr>
        <w:pStyle w:val="ListBullet"/>
      </w:pPr>
      <w:r w:rsidRPr="00A20F45">
        <w:t>making approved adjustmen</w:t>
      </w:r>
      <w:r w:rsidRPr="00A20F45">
        <w:t>ts to procedures</w:t>
      </w:r>
    </w:p>
    <w:p w:rsidR="00000000" w:rsidRPr="00A20F45" w:rsidP="00A20F45">
      <w:pPr>
        <w:pStyle w:val="ListBullet"/>
      </w:pPr>
      <w:r w:rsidRPr="00A20F45">
        <w:t>preparing and using calibration charts and standards</w:t>
      </w:r>
    </w:p>
    <w:p w:rsidR="00000000" w:rsidRPr="00A20F45" w:rsidP="00A20F45">
      <w:pPr>
        <w:pStyle w:val="ListBullet"/>
      </w:pPr>
      <w:r w:rsidRPr="00A20F45">
        <w:t>analysing data, recognising atypical or anomalous results and troubleshooting common analytical procedure and equipment problems</w:t>
      </w:r>
    </w:p>
    <w:p w:rsidR="00000000" w:rsidRPr="00A20F45" w:rsidP="00A20F45">
      <w:pPr>
        <w:pStyle w:val="ListBullet"/>
      </w:pPr>
      <w:r w:rsidRPr="00A20F45">
        <w:t>calculating analyte concentrations with appropriate accur</w:t>
      </w:r>
      <w:r w:rsidRPr="00A20F45">
        <w:t>acy, precision, units and uncertainty</w:t>
      </w:r>
    </w:p>
    <w:p w:rsidR="00000000" w:rsidRPr="00A20F45" w:rsidP="00A20F45">
      <w:pPr>
        <w:pStyle w:val="ListBullet"/>
      </w:pPr>
      <w:r w:rsidRPr="00A20F45">
        <w:t>recording data and reporting results using workplace procedures</w:t>
      </w:r>
    </w:p>
    <w:p w:rsidR="00000000" w:rsidRPr="00A20F45" w:rsidP="00A20F45">
      <w:pPr>
        <w:pStyle w:val="ListBullet"/>
      </w:pPr>
      <w:r w:rsidRPr="00A20F45">
        <w:t>maintaining security, integrity and traceability of samples and documentation</w:t>
      </w:r>
    </w:p>
    <w:p w:rsidR="00000000" w:rsidRPr="00A20F45" w:rsidP="00A20F45">
      <w:pPr>
        <w:pStyle w:val="ListBullet"/>
      </w:pPr>
      <w:r w:rsidRPr="00A20F45">
        <w:t>following workplace safety procedures.</w:t>
      </w:r>
    </w:p>
    <w:p w:rsidR="00000000" w:rsidRPr="00A20F45" w:rsidP="00A20F45">
      <w:pPr>
        <w:pStyle w:val="AllowPageBreak"/>
      </w:pPr>
    </w:p>
    <w:p w:rsidR="00000000" w:rsidRPr="00A20F45" w:rsidP="00A20F45">
      <w:pPr>
        <w:pStyle w:val="Heading1"/>
      </w:pPr>
      <w:bookmarkStart w:id="3" w:name="O_901855"/>
      <w:bookmarkEnd w:id="3"/>
      <w:r w:rsidRPr="00A20F45">
        <w:t>Knowledge Evidence</w:t>
      </w:r>
    </w:p>
    <w:p w:rsidR="00000000" w:rsidRPr="00A20F45" w:rsidP="00A20F45">
      <w:pPr>
        <w:pStyle w:val="BodyText"/>
      </w:pPr>
      <w:r w:rsidRPr="00A20F45">
        <w:t>Must provide evidence that demonstrates knowledge of:</w:t>
      </w:r>
    </w:p>
    <w:p w:rsidR="00000000" w:rsidRPr="00A20F45" w:rsidP="00A20F45">
      <w:pPr>
        <w:pStyle w:val="ListBullet"/>
      </w:pPr>
      <w:r w:rsidRPr="00A20F45">
        <w:t>principles and concepts underpinning the analysis, including:</w:t>
      </w:r>
    </w:p>
    <w:p w:rsidR="00000000" w:rsidRPr="00A20F45" w:rsidP="00A20F45">
      <w:pPr>
        <w:pStyle w:val="ListBullet2"/>
      </w:pPr>
      <w:r w:rsidRPr="00A20F45">
        <w:t>nature of specific sample matrices</w:t>
      </w:r>
    </w:p>
    <w:p w:rsidR="00000000" w:rsidRPr="00A20F45" w:rsidP="00A20F45">
      <w:pPr>
        <w:pStyle w:val="ListBullet2"/>
      </w:pPr>
      <w:r w:rsidRPr="00A20F45">
        <w:t>effects of interferents with analyte behaviour, such as ionisation, complexation, precipitation, maskin</w:t>
      </w:r>
      <w:r w:rsidRPr="00A20F45">
        <w:t>g and association</w:t>
      </w:r>
    </w:p>
    <w:p w:rsidR="00000000" w:rsidRPr="00A20F45" w:rsidP="00A20F45">
      <w:pPr>
        <w:pStyle w:val="ListBullet2"/>
      </w:pPr>
      <w:r w:rsidRPr="00A20F45">
        <w:t>quantification methods, such as internal standards, standard additions, Gran's Plot and recovery checks</w:t>
      </w:r>
    </w:p>
    <w:p w:rsidR="00000000" w:rsidRPr="00A20F45" w:rsidP="00A20F45">
      <w:pPr>
        <w:pStyle w:val="ListBullet2"/>
      </w:pPr>
      <w:r w:rsidRPr="00A20F45">
        <w:t>chemical and physical treatments to minimise interferences</w:t>
      </w:r>
    </w:p>
    <w:p w:rsidR="00000000" w:rsidRPr="00A20F45" w:rsidP="00A20F45">
      <w:pPr>
        <w:pStyle w:val="ListBullet2"/>
      </w:pPr>
      <w:r w:rsidRPr="00A20F45">
        <w:t>fragile and labile nature of biological sample materials</w:t>
      </w:r>
    </w:p>
    <w:p w:rsidR="00000000" w:rsidRPr="00A20F45" w:rsidP="00A20F45">
      <w:pPr>
        <w:pStyle w:val="ListBullet"/>
      </w:pPr>
      <w:r w:rsidRPr="00A20F45">
        <w:t>sample preparatio</w:t>
      </w:r>
      <w:r w:rsidRPr="00A20F45">
        <w:t>n procedures used for analyses</w:t>
      </w:r>
    </w:p>
    <w:p w:rsidR="00000000" w:rsidRPr="00A20F45" w:rsidP="00A20F45">
      <w:pPr>
        <w:pStyle w:val="ListBullet"/>
      </w:pPr>
      <w:r w:rsidRPr="00A20F45">
        <w:t>special needs for sample treatment or pre-treatment</w:t>
      </w:r>
    </w:p>
    <w:p w:rsidR="00000000" w:rsidRPr="00A20F45" w:rsidP="00A20F45">
      <w:pPr>
        <w:pStyle w:val="ListBullet"/>
      </w:pPr>
      <w:r w:rsidRPr="00A20F45">
        <w:t>function of key components of equipment and effects of modifying instrumental variables on outputs and results</w:t>
      </w:r>
    </w:p>
    <w:p w:rsidR="00000000" w:rsidRPr="00A20F45" w:rsidP="00A20F45">
      <w:pPr>
        <w:pStyle w:val="ListBullet"/>
      </w:pPr>
      <w:r w:rsidRPr="00A20F45">
        <w:t>basic procedure and equipment troubleshooting techniques</w:t>
      </w:r>
    </w:p>
    <w:p w:rsidR="00000000" w:rsidRPr="00A20F45" w:rsidP="00A20F45">
      <w:pPr>
        <w:pStyle w:val="ListBullet"/>
      </w:pPr>
      <w:r w:rsidRPr="00A20F45">
        <w:t>common analytical procedure and equipment problems, including:</w:t>
      </w:r>
    </w:p>
    <w:p w:rsidR="00000000" w:rsidRPr="00A20F45" w:rsidP="00A20F45">
      <w:pPr>
        <w:pStyle w:val="ListBullet2"/>
      </w:pPr>
      <w:r w:rsidRPr="00A20F45">
        <w:t>matrix interference</w:t>
      </w:r>
    </w:p>
    <w:p w:rsidR="00000000" w:rsidRPr="00A20F45" w:rsidP="00A20F45">
      <w:pPr>
        <w:pStyle w:val="ListBullet2"/>
      </w:pPr>
      <w:r w:rsidRPr="00A20F45">
        <w:t>spectral interference</w:t>
      </w:r>
    </w:p>
    <w:p w:rsidR="00000000" w:rsidRPr="00A20F45" w:rsidP="00A20F45">
      <w:pPr>
        <w:pStyle w:val="ListBullet2"/>
      </w:pPr>
      <w:r w:rsidRPr="00A20F45">
        <w:t>problems associated with the physical state of the analyte, such as blockages and viscosity changing flow rates to instruments</w:t>
      </w:r>
    </w:p>
    <w:p w:rsidR="00000000" w:rsidRPr="00A20F45" w:rsidP="00A20F45">
      <w:pPr>
        <w:pStyle w:val="ListBullet"/>
      </w:pPr>
      <w:r w:rsidRPr="00A20F45">
        <w:t>basic equipment mainte</w:t>
      </w:r>
      <w:r w:rsidRPr="00A20F45">
        <w:t>nance procedures</w:t>
      </w:r>
    </w:p>
    <w:p w:rsidR="00000000" w:rsidRPr="00A20F45" w:rsidP="00A20F45">
      <w:pPr>
        <w:pStyle w:val="ListBullet"/>
      </w:pPr>
      <w:r w:rsidRPr="00A20F45">
        <w:t>calculation steps to give results in appropriate units, precision and uncertainty</w:t>
      </w:r>
    </w:p>
    <w:p w:rsidR="00000000" w:rsidRPr="00A20F45" w:rsidP="00A20F45">
      <w:pPr>
        <w:pStyle w:val="ListBullet"/>
      </w:pPr>
      <w:r w:rsidRPr="00A20F45">
        <w:t>workplace and legal traceability requirements</w:t>
      </w:r>
    </w:p>
    <w:p w:rsidR="00000000" w:rsidRPr="00A20F45" w:rsidP="00A20F45">
      <w:pPr>
        <w:pStyle w:val="ListBullet"/>
      </w:pPr>
      <w:r w:rsidRPr="00A20F45">
        <w:t>relevant hazards, work health and safety (WHS) and environment requirements.</w:t>
      </w:r>
    </w:p>
    <w:p w:rsidR="00000000" w:rsidRPr="00A20F45" w:rsidP="00A20F45">
      <w:pPr>
        <w:pStyle w:val="AllowPageBreak"/>
      </w:pPr>
    </w:p>
    <w:p w:rsidR="00000000" w:rsidRPr="00A20F45" w:rsidP="00A20F45">
      <w:pPr>
        <w:pStyle w:val="Heading1"/>
      </w:pPr>
      <w:bookmarkStart w:id="4" w:name="O_901854"/>
      <w:bookmarkEnd w:id="4"/>
      <w:r w:rsidRPr="00A20F45">
        <w:t>Assessment Condit</w:t>
      </w:r>
      <w:r w:rsidRPr="00A20F45">
        <w:t>ions</w:t>
      </w:r>
    </w:p>
    <w:p w:rsidR="00000000" w:rsidRPr="00A20F45" w:rsidP="00A20F45">
      <w:pPr>
        <w:pStyle w:val="ListBullet"/>
      </w:pPr>
      <w:r w:rsidRPr="00A20F45">
        <w:t xml:space="preserve">Judgment of competence must be based on holistic assessment of the evidence. Assessment methods must confirm consistency of performance over time, rather than a single assessment event. </w:t>
      </w:r>
    </w:p>
    <w:p w:rsidR="00000000" w:rsidRPr="00A20F45" w:rsidP="00A20F45">
      <w:pPr>
        <w:pStyle w:val="ListBullet"/>
      </w:pPr>
      <w:r w:rsidRPr="00A20F45">
        <w:t>This unit of competency is to be assessed in the workplace or a</w:t>
      </w:r>
      <w:r w:rsidRPr="00A20F45">
        <w:t xml:space="preserve"> simulated workplace environment. A simulated workplace environment must reflect realistic operational workplace conditions that cover all aspects of workplace performance, including the environment, task skills, task management skills, contingency managem</w:t>
      </w:r>
      <w:r w:rsidRPr="00A20F45">
        <w:t xml:space="preserve">ent skills and job role environment skills.  </w:t>
      </w:r>
    </w:p>
    <w:p w:rsidR="00000000" w:rsidRPr="00A20F45" w:rsidP="00A20F45">
      <w:pPr>
        <w:pStyle w:val="ListBullet"/>
      </w:pPr>
      <w:r w:rsidRPr="00A20F45">
        <w:t xml:space="preserve">Foundation skills are integral to competent performance of the unit and should not be assessed separately. </w:t>
      </w:r>
    </w:p>
    <w:p w:rsidR="00000000" w:rsidRPr="00A20F45" w:rsidP="00A20F45">
      <w:pPr>
        <w:pStyle w:val="ListBullet"/>
      </w:pPr>
      <w:r w:rsidRPr="00A20F45">
        <w:t>Assessment processes and techniques must be appropriate to the language, literacy and numeracy requirements of the work being performed and the needs of the candidate.</w:t>
      </w:r>
    </w:p>
    <w:p w:rsidR="00000000" w:rsidRPr="00A20F45" w:rsidP="00A20F45">
      <w:pPr>
        <w:pStyle w:val="ListBullet"/>
      </w:pPr>
      <w:r w:rsidRPr="00A20F45">
        <w:t>Knowledge evidence may be collected concurrently with performance evidence or through an</w:t>
      </w:r>
      <w:r w:rsidRPr="00A20F45">
        <w:t xml:space="preserve"> independent process, such as workbooks, written assessments or interviews (provided a record is kept in each case).</w:t>
      </w:r>
    </w:p>
    <w:p w:rsidR="00000000" w:rsidRPr="00A20F45" w:rsidP="00A20F45">
      <w:pPr>
        <w:pStyle w:val="ListBullet"/>
      </w:pPr>
      <w:r w:rsidRPr="00A20F45">
        <w:t xml:space="preserve">This unit of competency may be assessed with: </w:t>
      </w:r>
    </w:p>
    <w:p w:rsidR="00000000" w:rsidRPr="00A20F45" w:rsidP="00A20F45">
      <w:pPr>
        <w:pStyle w:val="ListBullet2"/>
      </w:pPr>
      <w:r w:rsidRPr="00A20F45">
        <w:t>MSL925001 Analyse data and report results</w:t>
      </w:r>
    </w:p>
    <w:p w:rsidR="00000000" w:rsidRPr="00A20F45" w:rsidP="00A20F45">
      <w:pPr>
        <w:pStyle w:val="ListBullet"/>
      </w:pPr>
      <w:r w:rsidRPr="00A20F45">
        <w:t xml:space="preserve">Holistic assessment methods include: </w:t>
      </w:r>
    </w:p>
    <w:p w:rsidR="00000000" w:rsidRPr="00A20F45" w:rsidP="00A20F45">
      <w:pPr>
        <w:pStyle w:val="ListBullet2"/>
      </w:pPr>
      <w:r w:rsidRPr="00A20F45">
        <w:t>review of</w:t>
      </w:r>
      <w:r w:rsidRPr="00A20F45">
        <w:t xml:space="preserve"> test data/results obtained by the candidate over time to ensure accuracy and consistency of results </w:t>
      </w:r>
    </w:p>
    <w:p w:rsidR="00000000" w:rsidRPr="00A20F45" w:rsidP="00A20F45">
      <w:pPr>
        <w:pStyle w:val="ListBullet2"/>
      </w:pPr>
      <w:r w:rsidRPr="00A20F45">
        <w:t>inspection of test records and workplace documentation completed by the candidate</w:t>
      </w:r>
    </w:p>
    <w:p w:rsidR="00000000" w:rsidRPr="00A20F45" w:rsidP="00A20F45">
      <w:pPr>
        <w:pStyle w:val="ListBullet2"/>
      </w:pPr>
      <w:r w:rsidRPr="00A20F45">
        <w:t xml:space="preserve">observation of candidate conducting a range of complex tests to measure </w:t>
      </w:r>
      <w:r w:rsidRPr="00A20F45">
        <w:t>chemical properties of materials</w:t>
      </w:r>
    </w:p>
    <w:p w:rsidR="00000000" w:rsidRPr="00A20F45" w:rsidP="00A20F45">
      <w:pPr>
        <w:pStyle w:val="ListBullet2"/>
      </w:pPr>
      <w:r w:rsidRPr="00A20F45">
        <w:t>feedback from clients, peers and supervisors about the candidate’s ability to provide valid and reliable results within expected timeframes</w:t>
      </w:r>
    </w:p>
    <w:p w:rsidR="00000000" w:rsidRPr="00A20F45" w:rsidP="00A20F45">
      <w:pPr>
        <w:pStyle w:val="ListBullet2"/>
      </w:pPr>
      <w:r w:rsidRPr="00A20F45">
        <w:t>oral or written questioning of relevant chemical principles, concepts, sample prepa</w:t>
      </w:r>
      <w:r w:rsidRPr="00A20F45">
        <w:t>ration, isolation of analytes, analytical techniques and workplace procedures.</w:t>
      </w:r>
    </w:p>
    <w:p w:rsidR="00000000" w:rsidRPr="00A20F45" w:rsidP="00A20F45">
      <w:pPr>
        <w:pStyle w:val="ListBullet"/>
      </w:pPr>
      <w:r w:rsidRPr="00A20F45">
        <w:t>Access is required to instruments, equipment, materials, workplace documentation, procedures and specifications associated with this unit, including, but not limited to:</w:t>
      </w:r>
    </w:p>
    <w:p w:rsidR="00000000" w:rsidRPr="00A20F45" w:rsidP="00A20F45">
      <w:pPr>
        <w:pStyle w:val="ListBullet2"/>
      </w:pPr>
      <w:r w:rsidRPr="00A20F45">
        <w:t>a sta</w:t>
      </w:r>
      <w:r w:rsidRPr="00A20F45">
        <w:t>ndard laboratory with specialised analytical instruments, laboratory reagents and equipment, standard operating procedures (SOPs) and test methods.</w:t>
      </w:r>
    </w:p>
    <w:p w:rsidR="00000000" w:rsidRPr="00A20F45" w:rsidP="00A20F45">
      <w:pPr>
        <w:pStyle w:val="ListBullet"/>
      </w:pPr>
      <w:r w:rsidRPr="00A20F45">
        <w:t>Assessors must satisfy the assessor competency requirements that are in place at the time of the assessment</w:t>
      </w:r>
      <w:r w:rsidRPr="00A20F45">
        <w:t xml:space="preserve"> as set by the VET regulator.  </w:t>
      </w:r>
    </w:p>
    <w:p w:rsidR="00000000" w:rsidRPr="00A20F45" w:rsidP="00A20F45">
      <w:pPr>
        <w:pStyle w:val="ListBullet"/>
      </w:pPr>
      <w:r w:rsidRPr="00A20F45">
        <w:t>The assessor must demonstrate both technical competence and currency.</w:t>
      </w:r>
    </w:p>
    <w:p w:rsidR="00000000" w:rsidRPr="00A20F45" w:rsidP="00A20F45">
      <w:pPr>
        <w:pStyle w:val="ListBullet"/>
      </w:pPr>
      <w:r w:rsidRPr="00A20F45">
        <w:t>Technical competence can be demonstrated through:</w:t>
      </w:r>
    </w:p>
    <w:p w:rsidR="00000000" w:rsidRPr="00A20F45" w:rsidP="00A20F45">
      <w:pPr>
        <w:pStyle w:val="ListBullet2"/>
      </w:pPr>
      <w:r w:rsidRPr="00A20F45">
        <w:t>relevant VET or other qualification/Statement of Attainment AND/OR</w:t>
      </w:r>
    </w:p>
    <w:p w:rsidR="00000000" w:rsidRPr="00A20F45" w:rsidP="00A20F45">
      <w:pPr>
        <w:pStyle w:val="ListBullet2"/>
      </w:pPr>
      <w:r w:rsidRPr="00A20F45">
        <w:t>relevant workplace experience.</w:t>
      </w:r>
    </w:p>
    <w:p w:rsidR="00000000" w:rsidRPr="00A20F45" w:rsidP="00A20F45">
      <w:pPr>
        <w:pStyle w:val="ListBullet"/>
      </w:pPr>
      <w:r w:rsidRPr="00A20F45">
        <w:t>Currency can be demonstrated through:</w:t>
      </w:r>
    </w:p>
    <w:p w:rsidR="00000000" w:rsidRPr="00A20F45" w:rsidP="00A20F45">
      <w:pPr>
        <w:pStyle w:val="ListBullet2"/>
      </w:pPr>
      <w:r w:rsidRPr="00A20F45">
        <w:t>performing the competency being assessed as part of current employment OR</w:t>
      </w:r>
    </w:p>
    <w:p w:rsidR="00000000" w:rsidRPr="00A20F45" w:rsidP="00A20F45">
      <w:pPr>
        <w:pStyle w:val="ListBullet2"/>
      </w:pPr>
      <w:r w:rsidRPr="00A20F45">
        <w:t>having consulted with a laboratory about performing the competency being assessed within the last twelve months.</w:t>
      </w:r>
    </w:p>
    <w:p w:rsidR="00000000" w:rsidRPr="00A20F45" w:rsidP="00A20F45">
      <w:pPr>
        <w:pStyle w:val="AllowPageBreak"/>
      </w:pPr>
    </w:p>
    <w:p w:rsidR="00000000" w:rsidRPr="00A20F45" w:rsidP="00A20F45">
      <w:pPr>
        <w:pStyle w:val="Heading1"/>
      </w:pPr>
      <w:bookmarkStart w:id="5" w:name="O_901852"/>
      <w:bookmarkEnd w:id="5"/>
      <w:r w:rsidRPr="00A20F45">
        <w:t>Links</w:t>
      </w:r>
    </w:p>
    <w:p w:rsidR="00000000" w:rsidRPr="00A20F45" w:rsidP="00A20F45">
      <w:pPr>
        <w:pStyle w:val="BodyText"/>
      </w:pPr>
      <w:r w:rsidRPr="00A20F45">
        <w:t>MSA Tra</w:t>
      </w:r>
      <w:r w:rsidRPr="00A20F45">
        <w:t>ining Package Implementation Guides - http://mskills.org.au/training-packages/info/</w:t>
      </w:r>
    </w:p>
    <w:p w:rsidR="00000000" w:rsidRPr="00A20F45" w:rsidP="00A20F45"/>
    <w:sectPr w:rsidSect="00A20F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 w:rsidRPr="005D00BB" w:rsidP="005D00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0BB" w:rsidP="00A20F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00BB" w:rsidP="00A20F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5D00BB" w:rsidP="00A20F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 w:rsidRPr="005D00BB" w:rsidP="005D00B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F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0BB" w:rsidRPr="002D2AF8" w:rsidP="00A20F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MSL975018 Perform complex tests to measure chemical properties of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2016</w:t>
    </w:r>
    <w:r>
      <w:fldChar w:fldCharType="end"/>
    </w:r>
  </w:p>
  <w:p w:rsidR="005D00BB" w:rsidP="00A20F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7841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22F9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A4A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F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F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F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F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F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F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F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F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F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F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F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F45"/>
  </w:style>
  <w:style w:type="character" w:customStyle="1" w:styleId="Heading1Char">
    <w:name w:val="Heading 1 Char"/>
    <w:basedOn w:val="DefaultParagraphFont"/>
    <w:link w:val="Heading1"/>
    <w:rsid w:val="00A20F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F4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F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0F4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20F4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0F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F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F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F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F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F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F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F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F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F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F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F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F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F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F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F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F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F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F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F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20F45"/>
    <w:rPr>
      <w:b/>
      <w:spacing w:val="0"/>
    </w:rPr>
  </w:style>
  <w:style w:type="paragraph" w:customStyle="1" w:styleId="SuperTitle">
    <w:name w:val="SuperTitle"/>
    <w:basedOn w:val="Title"/>
    <w:rsid w:val="00A20F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F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F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F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F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F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F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F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F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F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F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F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F45"/>
    <w:rPr>
      <w:i/>
    </w:rPr>
  </w:style>
  <w:style w:type="paragraph" w:styleId="Caption">
    <w:name w:val="caption"/>
    <w:basedOn w:val="BodyText"/>
    <w:next w:val="Normal"/>
    <w:qFormat/>
    <w:rsid w:val="00A20F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F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F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F45"/>
  </w:style>
  <w:style w:type="paragraph" w:styleId="TableofFigures">
    <w:name w:val="table of figures"/>
    <w:basedOn w:val="Normal"/>
    <w:next w:val="Normal"/>
    <w:semiHidden/>
    <w:rsid w:val="00A20F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F45"/>
    <w:pPr>
      <w:numPr>
        <w:numId w:val="11"/>
      </w:numPr>
    </w:pPr>
  </w:style>
  <w:style w:type="character" w:customStyle="1" w:styleId="WingdingSymbols">
    <w:name w:val="Wingding Symbols"/>
    <w:rsid w:val="00A20F45"/>
    <w:rPr>
      <w:rFonts w:ascii="Wingdings" w:hAnsi="Wingdings"/>
    </w:rPr>
  </w:style>
  <w:style w:type="paragraph" w:customStyle="1" w:styleId="TableHeading">
    <w:name w:val="Table Heading"/>
    <w:basedOn w:val="HeadingBase"/>
    <w:rsid w:val="00A20F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F45"/>
    <w:rPr>
      <w:color w:val="0033CC"/>
      <w:u w:val="none"/>
    </w:rPr>
  </w:style>
  <w:style w:type="paragraph" w:customStyle="1" w:styleId="BodyTextRight">
    <w:name w:val="Body Text Right"/>
    <w:basedOn w:val="BodyText"/>
    <w:rsid w:val="00A20F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F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F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F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F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F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F45"/>
    <w:rPr>
      <w:sz w:val="32"/>
    </w:rPr>
  </w:style>
  <w:style w:type="paragraph" w:customStyle="1" w:styleId="HeadingProcedure">
    <w:name w:val="Heading Procedure"/>
    <w:basedOn w:val="HeadingBase"/>
    <w:next w:val="Normal"/>
    <w:rsid w:val="00A20F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F45"/>
    <w:pPr>
      <w:spacing w:before="60" w:after="60"/>
    </w:pPr>
  </w:style>
  <w:style w:type="paragraph" w:styleId="ListContinue">
    <w:name w:val="List Continue"/>
    <w:basedOn w:val="List"/>
    <w:rsid w:val="00A20F45"/>
    <w:pPr>
      <w:ind w:firstLine="0"/>
    </w:pPr>
  </w:style>
  <w:style w:type="paragraph" w:customStyle="1" w:styleId="ListNote">
    <w:name w:val="List Note"/>
    <w:basedOn w:val="List"/>
    <w:rsid w:val="00A20F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F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F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F45"/>
    <w:rPr>
      <w:rFonts w:ascii="Courier New" w:hAnsi="Courier New"/>
    </w:rPr>
  </w:style>
  <w:style w:type="paragraph" w:customStyle="1" w:styleId="NoteBullet">
    <w:name w:val="Note Bullet"/>
    <w:basedOn w:val="Note"/>
    <w:rsid w:val="00A20F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F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F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F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F4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20F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F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F45"/>
    <w:rPr>
      <w:b/>
      <w:smallCaps/>
    </w:rPr>
  </w:style>
  <w:style w:type="paragraph" w:customStyle="1" w:styleId="TableListNumber">
    <w:name w:val="Table List Number"/>
    <w:basedOn w:val="ListNumber"/>
    <w:rsid w:val="00A20F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F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F45"/>
    <w:pPr>
      <w:numPr>
        <w:numId w:val="9"/>
      </w:numPr>
    </w:pPr>
  </w:style>
  <w:style w:type="paragraph" w:customStyle="1" w:styleId="ListAlpha2">
    <w:name w:val="List Alpha 2"/>
    <w:basedOn w:val="List2"/>
    <w:rsid w:val="00A20F45"/>
    <w:pPr>
      <w:numPr>
        <w:numId w:val="8"/>
      </w:numPr>
    </w:pPr>
  </w:style>
  <w:style w:type="paragraph" w:styleId="List2">
    <w:name w:val="List 2"/>
    <w:basedOn w:val="BodyText"/>
    <w:rsid w:val="00A20F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F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F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F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F4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F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F45"/>
    <w:pPr>
      <w:numPr>
        <w:numId w:val="4"/>
      </w:numPr>
    </w:pPr>
  </w:style>
  <w:style w:type="paragraph" w:styleId="ListContinue2">
    <w:name w:val="List Continue 2"/>
    <w:basedOn w:val="List2"/>
    <w:rsid w:val="00A20F45"/>
    <w:pPr>
      <w:ind w:firstLine="0"/>
    </w:pPr>
  </w:style>
  <w:style w:type="paragraph" w:styleId="ListContinue3">
    <w:name w:val="List Continue 3"/>
    <w:basedOn w:val="List3"/>
    <w:rsid w:val="00A20F45"/>
    <w:pPr>
      <w:ind w:left="1021" w:firstLine="0"/>
    </w:pPr>
  </w:style>
  <w:style w:type="paragraph" w:styleId="ListContinue4">
    <w:name w:val="List Continue 4"/>
    <w:basedOn w:val="List4"/>
    <w:rsid w:val="00A20F45"/>
    <w:pPr>
      <w:ind w:firstLine="0"/>
    </w:pPr>
  </w:style>
  <w:style w:type="paragraph" w:styleId="ListContinue5">
    <w:name w:val="List Continue 5"/>
    <w:basedOn w:val="List5"/>
    <w:rsid w:val="00A20F45"/>
    <w:pPr>
      <w:ind w:firstLine="0"/>
    </w:pPr>
  </w:style>
  <w:style w:type="paragraph" w:styleId="ListNumber3">
    <w:name w:val="List Number 3"/>
    <w:basedOn w:val="List3"/>
    <w:rsid w:val="00A20F45"/>
    <w:pPr>
      <w:numPr>
        <w:numId w:val="5"/>
      </w:numPr>
    </w:pPr>
  </w:style>
  <w:style w:type="paragraph" w:styleId="ListNumber4">
    <w:name w:val="List Number 4"/>
    <w:basedOn w:val="List4"/>
    <w:rsid w:val="00A20F45"/>
    <w:pPr>
      <w:numPr>
        <w:numId w:val="6"/>
      </w:numPr>
    </w:pPr>
  </w:style>
  <w:style w:type="paragraph" w:styleId="ListNumber5">
    <w:name w:val="List Number 5"/>
    <w:basedOn w:val="List5"/>
    <w:rsid w:val="00A20F45"/>
    <w:pPr>
      <w:numPr>
        <w:numId w:val="7"/>
      </w:numPr>
    </w:pPr>
  </w:style>
  <w:style w:type="paragraph" w:styleId="BlockText">
    <w:name w:val="Block Text"/>
    <w:basedOn w:val="Normal"/>
    <w:rsid w:val="00A20F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F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F45"/>
    <w:rPr>
      <w:sz w:val="16"/>
      <w:vertAlign w:val="superscript"/>
    </w:rPr>
  </w:style>
  <w:style w:type="character" w:customStyle="1" w:styleId="Symbols">
    <w:name w:val="Symbols"/>
    <w:basedOn w:val="DefaultParagraphFont"/>
    <w:rsid w:val="00A20F45"/>
    <w:rPr>
      <w:rFonts w:ascii="Symbol" w:hAnsi="Symbol"/>
    </w:rPr>
  </w:style>
  <w:style w:type="character" w:customStyle="1" w:styleId="MenuOptions">
    <w:name w:val="Menu Options"/>
    <w:basedOn w:val="DefaultParagraphFont"/>
    <w:rsid w:val="00A20F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F45"/>
    <w:rPr>
      <w:b/>
    </w:rPr>
  </w:style>
  <w:style w:type="character" w:customStyle="1" w:styleId="Underlined">
    <w:name w:val="Underlined"/>
    <w:basedOn w:val="DefaultParagraphFont"/>
    <w:rsid w:val="00A20F45"/>
    <w:rPr>
      <w:u w:val="single"/>
    </w:rPr>
  </w:style>
  <w:style w:type="paragraph" w:customStyle="1" w:styleId="TableBodyTextRight">
    <w:name w:val="Table Body Text Right"/>
    <w:basedOn w:val="TableBodyText"/>
    <w:rsid w:val="00A20F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F45"/>
    <w:rPr>
      <w:sz w:val="18"/>
    </w:rPr>
  </w:style>
  <w:style w:type="paragraph" w:customStyle="1" w:styleId="BodySmallRight">
    <w:name w:val="Body Small Right"/>
    <w:basedOn w:val="BodyTextRight"/>
    <w:rsid w:val="00A20F45"/>
    <w:rPr>
      <w:sz w:val="18"/>
      <w:szCs w:val="18"/>
    </w:rPr>
  </w:style>
  <w:style w:type="paragraph" w:customStyle="1" w:styleId="MarginEdition">
    <w:name w:val="Margin Edition"/>
    <w:basedOn w:val="MarginNote"/>
    <w:rsid w:val="00A20F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F45"/>
    <w:rPr>
      <w:sz w:val="2"/>
      <w:szCs w:val="2"/>
    </w:rPr>
  </w:style>
  <w:style w:type="character" w:customStyle="1" w:styleId="Small">
    <w:name w:val="Small"/>
    <w:basedOn w:val="DefaultParagraphFont"/>
    <w:rsid w:val="00A20F45"/>
    <w:rPr>
      <w:sz w:val="16"/>
    </w:rPr>
  </w:style>
  <w:style w:type="paragraph" w:customStyle="1" w:styleId="WideTable">
    <w:name w:val="Wide Table"/>
    <w:basedOn w:val="Normal"/>
    <w:rsid w:val="00A20F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F45"/>
  </w:style>
  <w:style w:type="paragraph" w:styleId="Quote">
    <w:name w:val="Quote"/>
    <w:basedOn w:val="Heading1"/>
    <w:link w:val="QuoteChar"/>
    <w:qFormat/>
    <w:rsid w:val="00A20F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F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F45"/>
    <w:pPr>
      <w:pageBreakBefore/>
    </w:pPr>
  </w:style>
  <w:style w:type="paragraph" w:customStyle="1" w:styleId="Border">
    <w:name w:val="Border"/>
    <w:basedOn w:val="Normal"/>
    <w:qFormat/>
    <w:rsid w:val="00A20F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F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F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F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F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F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F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F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F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F45"/>
    <w:rPr>
      <w:u w:val="single"/>
    </w:rPr>
  </w:style>
  <w:style w:type="character" w:customStyle="1" w:styleId="BoldandItalics">
    <w:name w:val="Bold and Italics"/>
    <w:qFormat/>
    <w:rsid w:val="00A20F45"/>
    <w:rPr>
      <w:b/>
      <w:i/>
      <w:u w:val="none"/>
    </w:rPr>
  </w:style>
  <w:style w:type="paragraph" w:styleId="BalloonText">
    <w:name w:val="Balloon Text"/>
    <w:basedOn w:val="Normal"/>
    <w:link w:val="BalloonTextChar"/>
    <w:rsid w:val="00A20F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F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F4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F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F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F4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754</Words>
  <Characters>5052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5803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MSL975018 Perform complex tests to measure chemical properties of materials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2016-03-01T06:27:00Z</dcterms:created>
  <dcterms:modified xsi:type="dcterms:W3CDTF">2016-03-01T06:27:00Z</dcterms:modified>
</cp:coreProperties>
</file>