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0248" w:rsidP="00670248">
      <w:pPr>
        <w:pStyle w:val="Title"/>
      </w:pPr>
      <w:r>
        <w:fldChar w:fldCharType="begin"/>
      </w:r>
      <w:r>
        <w:instrText xml:space="preserve"> TITLE   \* MERGEFORMAT </w:instrText>
      </w:r>
      <w:r>
        <w:fldChar w:fldCharType="separate"/>
      </w:r>
      <w:r>
        <w:t>MSL975015 Prepare animal and plant material for display</w:t>
      </w:r>
      <w:r>
        <w:fldChar w:fldCharType="end"/>
      </w:r>
    </w:p>
    <w:p w:rsidR="00670248" w:rsidP="00670248">
      <w:pPr>
        <w:pStyle w:val="Version"/>
        <w:sectPr w:rsidSect="00EA12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1282" w:rsidP="00EA1282">
      <w:pPr>
        <w:pStyle w:val="SuperHeading"/>
      </w:pPr>
      <w:r w:rsidRPr="00EA1282">
        <w:t>MSL975015 Prepare animal and plant material for display</w:t>
      </w:r>
    </w:p>
    <w:p w:rsidR="00000000" w:rsidRPr="00EA1282" w:rsidP="00EA1282">
      <w:pPr>
        <w:pStyle w:val="Heading1"/>
      </w:pPr>
      <w:bookmarkStart w:id="1" w:name="O_901819"/>
      <w:bookmarkEnd w:id="1"/>
      <w:r w:rsidRPr="00EA1282">
        <w:t>Modification History</w:t>
      </w:r>
    </w:p>
    <w:p w:rsidR="00000000" w:rsidRPr="00EA1282" w:rsidP="00670248">
      <w:pPr>
        <w:pStyle w:val="BodyText"/>
      </w:pPr>
      <w:r w:rsidRPr="00EA1282">
        <w:t>Release 1. Supersedes and is equivalent to MSL975015A Prepare animal and plant material for display</w:t>
      </w:r>
    </w:p>
    <w:p w:rsidR="00000000" w:rsidRPr="00EA1282" w:rsidP="00EA1282">
      <w:pPr>
        <w:pStyle w:val="Heading1"/>
      </w:pPr>
      <w:bookmarkStart w:id="2" w:name="O_901827"/>
      <w:bookmarkEnd w:id="2"/>
      <w:r w:rsidRPr="00EA1282">
        <w:t>Application</w:t>
      </w:r>
    </w:p>
    <w:p w:rsidR="00000000" w:rsidRPr="00EA1282" w:rsidP="00670248">
      <w:pPr>
        <w:pStyle w:val="BodyText"/>
      </w:pPr>
      <w:r w:rsidRPr="00EA1282">
        <w:t>This unit of competency covers the ability to perform a range of techniques to collect and</w:t>
      </w:r>
      <w:r w:rsidRPr="00EA1282">
        <w:t xml:space="preserve"> preserve animals and plant material for both public and scientific research display. Personnel are required to assist clients to clarify their display requirements, select the most appropriate collection and preservation procedures and display configurati</w:t>
      </w:r>
      <w:r w:rsidRPr="00EA1282">
        <w:t xml:space="preserve">on and then assemble and conserve the display items. The unit does not cover techniques and procedures for handling vertebrates that are subject to national and state/territory animal care and ethics regulations. </w:t>
      </w:r>
    </w:p>
    <w:p w:rsidR="00000000" w:rsidRPr="00EA1282" w:rsidP="00670248">
      <w:pPr>
        <w:pStyle w:val="BodyText"/>
      </w:pPr>
      <w:r w:rsidRPr="00EA1282">
        <w:t xml:space="preserve">This unit of competency is applicable to </w:t>
      </w:r>
      <w:r w:rsidRPr="00EA1282">
        <w:t>technical assistants and technical officers in research and teaching institutions, museums, herbariums, commercial taxidermy, forestry, zoos and fauna park industry sectors. This unit of competency is relevant to technicians who may work individually or as</w:t>
      </w:r>
      <w:r w:rsidRPr="00EA1282">
        <w:t xml:space="preserve"> part of a team. The workplace will need to equip its personnel with relevant animal handling skills should they be required.</w:t>
      </w:r>
    </w:p>
    <w:p w:rsidR="00000000" w:rsidRPr="00EA1282" w:rsidP="00670248">
      <w:pPr>
        <w:pStyle w:val="BodyText"/>
      </w:pPr>
      <w:r w:rsidRPr="00EA1282">
        <w:t>While no specific licensing or certification requirements apply to this unit at the time of publication, laboratory operations ar</w:t>
      </w:r>
      <w:r w:rsidRPr="00EA1282">
        <w:t>e governed by relevant legislation, regulations and/or external accreditation requirements. Local requirements should be checked.</w:t>
      </w:r>
    </w:p>
    <w:p w:rsidR="00000000" w:rsidRPr="00EA1282" w:rsidP="00EA1282">
      <w:pPr>
        <w:pStyle w:val="Heading1"/>
      </w:pPr>
      <w:bookmarkStart w:id="3" w:name="O_901826"/>
      <w:bookmarkEnd w:id="3"/>
      <w:r w:rsidRPr="00EA1282">
        <w:t>Pre-requisite Unit</w:t>
      </w:r>
    </w:p>
    <w:p w:rsidR="00000000" w:rsidRPr="00EA1282" w:rsidP="00670248">
      <w:pPr>
        <w:pStyle w:val="BodyText"/>
      </w:pPr>
      <w:r w:rsidRPr="00EA1282">
        <w:t>Nil</w:t>
      </w:r>
    </w:p>
    <w:p w:rsidR="00000000" w:rsidRPr="00EA1282" w:rsidP="00EA1282">
      <w:pPr>
        <w:pStyle w:val="Heading1"/>
      </w:pPr>
      <w:bookmarkStart w:id="4" w:name="O_901825"/>
      <w:bookmarkEnd w:id="4"/>
      <w:r w:rsidRPr="00EA1282">
        <w:t>Competency Field</w:t>
      </w:r>
    </w:p>
    <w:p w:rsidR="00000000" w:rsidRPr="00EA1282" w:rsidP="00670248">
      <w:pPr>
        <w:pStyle w:val="BodyText"/>
      </w:pPr>
      <w:r w:rsidRPr="00EA1282">
        <w:t>Testing</w:t>
      </w:r>
    </w:p>
    <w:p w:rsidR="00000000" w:rsidRPr="00EA1282" w:rsidP="00EA1282">
      <w:pPr>
        <w:pStyle w:val="Heading1"/>
      </w:pPr>
      <w:bookmarkStart w:id="5" w:name="O_901824"/>
      <w:bookmarkEnd w:id="5"/>
      <w:r w:rsidRPr="00EA1282">
        <w:t>Unit Sector</w:t>
      </w:r>
    </w:p>
    <w:p w:rsidR="00000000" w:rsidRPr="00EA1282" w:rsidP="00EA1282">
      <w:pPr>
        <w:pStyle w:val="Heading1"/>
      </w:pPr>
      <w:bookmarkStart w:id="6" w:name="O_901823"/>
      <w:bookmarkEnd w:id="6"/>
      <w:r w:rsidRPr="00EA128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A128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EA1282">
            <w:pPr>
              <w:pStyle w:val="BodyText"/>
              <w:rPr>
                <w:lang w:val="en-NZ"/>
              </w:rPr>
            </w:pPr>
            <w:r w:rsidRPr="00EA128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EA1282">
            <w:pPr>
              <w:pStyle w:val="BodyText"/>
              <w:rPr>
                <w:lang w:val="en-NZ"/>
              </w:rPr>
            </w:pPr>
            <w:r w:rsidRPr="00EA1282">
              <w:t>Performance criteria describe the performance needed to demonstrate achievement of the element.</w:t>
            </w:r>
          </w:p>
        </w:tc>
      </w:tr>
      <w:tr w:rsidTr="00EA12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A1282" w:rsidP="00EA1282">
            <w:pPr>
              <w:pStyle w:val="BodyText"/>
            </w:pPr>
            <w:r w:rsidRPr="00EA1282">
              <w:t>1</w:t>
            </w:r>
          </w:p>
        </w:tc>
        <w:tc>
          <w:tcPr>
            <w:tcW w:w="1962" w:type="dxa"/>
            <w:vMerge w:val="restart"/>
            <w:tcBorders>
              <w:top w:val="nil"/>
              <w:left w:val="nil"/>
              <w:bottom w:val="nil"/>
              <w:right w:val="nil"/>
            </w:tcBorders>
            <w:tcMar>
              <w:top w:w="0" w:type="dxa"/>
              <w:left w:w="62" w:type="dxa"/>
              <w:bottom w:w="0" w:type="dxa"/>
              <w:right w:w="62" w:type="dxa"/>
            </w:tcMar>
          </w:tcPr>
          <w:p w:rsidR="00000000" w:rsidP="00EA1282">
            <w:pPr>
              <w:pStyle w:val="BodyText"/>
              <w:rPr>
                <w:lang w:val="en-NZ"/>
              </w:rPr>
            </w:pPr>
            <w:r w:rsidRPr="00EA1282">
              <w:rPr>
                <w:rStyle w:val="SpecialBold"/>
              </w:rPr>
              <w:t xml:space="preserve">Confirm the </w:t>
            </w:r>
            <w:r w:rsidRPr="00EA1282">
              <w:rPr>
                <w:rStyle w:val="SpecialBold"/>
              </w:rPr>
              <w:t>requirements of the display and plan the work</w:t>
            </w:r>
          </w:p>
        </w:tc>
        <w:tc>
          <w:tcPr>
            <w:tcW w:w="770" w:type="dxa"/>
            <w:tcBorders>
              <w:top w:val="nil"/>
              <w:left w:val="nil"/>
              <w:bottom w:val="nil"/>
              <w:right w:val="nil"/>
            </w:tcBorders>
            <w:tcMar>
              <w:top w:w="0" w:type="dxa"/>
              <w:left w:w="62" w:type="dxa"/>
              <w:bottom w:w="0" w:type="dxa"/>
              <w:right w:w="62" w:type="dxa"/>
            </w:tcMar>
          </w:tcPr>
          <w:p w:rsidR="00000000" w:rsidP="00EA1282">
            <w:pPr>
              <w:pStyle w:val="BodyText"/>
              <w:rPr>
                <w:lang w:val="en-NZ"/>
              </w:rPr>
            </w:pPr>
            <w:r w:rsidRPr="00EA1282">
              <w:t>1.1</w:t>
            </w:r>
          </w:p>
        </w:tc>
        <w:tc>
          <w:tcPr>
            <w:tcW w:w="5610" w:type="dxa"/>
            <w:tcBorders>
              <w:top w:val="nil"/>
              <w:left w:val="nil"/>
              <w:bottom w:val="nil"/>
              <w:right w:val="nil"/>
            </w:tcBorders>
            <w:tcMar>
              <w:top w:w="0" w:type="dxa"/>
              <w:left w:w="62" w:type="dxa"/>
              <w:bottom w:w="0" w:type="dxa"/>
              <w:right w:w="62" w:type="dxa"/>
            </w:tcMar>
          </w:tcPr>
          <w:p w:rsidR="00000000" w:rsidP="00EA1282">
            <w:pPr>
              <w:pStyle w:val="BodyText"/>
              <w:rPr>
                <w:lang w:val="en-NZ"/>
              </w:rPr>
            </w:pPr>
            <w:r w:rsidRPr="00EA1282">
              <w:t xml:space="preserve">Clarify the purpose and design of the display in </w:t>
            </w:r>
            <w:r w:rsidRPr="00EA1282">
              <w:t>consultation with other staff</w:t>
            </w:r>
          </w:p>
        </w:tc>
      </w:tr>
      <w:tr w:rsidTr="00EA12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1282">
            <w:pPr>
              <w:pStyle w:val="BodyText"/>
              <w:rPr>
                <w:lang w:val="en-NZ"/>
              </w:rPr>
            </w:pPr>
            <w:r w:rsidRPr="00EA1282">
              <w:t>1.2</w:t>
            </w:r>
          </w:p>
        </w:tc>
        <w:tc>
          <w:tcPr>
            <w:tcW w:w="5610" w:type="dxa"/>
            <w:tcBorders>
              <w:top w:val="nil"/>
              <w:left w:val="nil"/>
              <w:bottom w:val="nil"/>
              <w:right w:val="nil"/>
            </w:tcBorders>
            <w:tcMar>
              <w:top w:w="0" w:type="dxa"/>
              <w:left w:w="62" w:type="dxa"/>
              <w:bottom w:w="0" w:type="dxa"/>
              <w:right w:w="62" w:type="dxa"/>
            </w:tcMar>
          </w:tcPr>
          <w:p w:rsidR="00000000" w:rsidP="00EA1282">
            <w:pPr>
              <w:pStyle w:val="BodyText"/>
              <w:rPr>
                <w:lang w:val="en-NZ"/>
              </w:rPr>
            </w:pPr>
            <w:r w:rsidRPr="00EA1282">
              <w:t>Determine suitable methods of collection, preservation and display in order to meet the display requirements</w:t>
            </w:r>
          </w:p>
        </w:tc>
      </w:tr>
      <w:tr w:rsidTr="00EA128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A1282">
            <w:pPr>
              <w:pStyle w:val="BodyText"/>
              <w:rPr>
                <w:lang w:val="en-NZ"/>
              </w:rPr>
            </w:pPr>
          </w:p>
        </w:tc>
      </w:tr>
      <w:tr w:rsidTr="00EA12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A1282" w:rsidP="00EA1282">
            <w:pPr>
              <w:pStyle w:val="BodyText"/>
            </w:pPr>
            <w:r w:rsidRPr="00EA1282">
              <w:t>2</w:t>
            </w:r>
          </w:p>
        </w:tc>
        <w:tc>
          <w:tcPr>
            <w:tcW w:w="1962" w:type="dxa"/>
            <w:vMerge w:val="restart"/>
            <w:tcBorders>
              <w:top w:val="nil"/>
              <w:left w:val="nil"/>
              <w:bottom w:val="nil"/>
              <w:right w:val="nil"/>
            </w:tcBorders>
            <w:tcMar>
              <w:top w:w="0" w:type="dxa"/>
              <w:left w:w="62" w:type="dxa"/>
              <w:bottom w:w="0" w:type="dxa"/>
              <w:right w:w="62" w:type="dxa"/>
            </w:tcMar>
          </w:tcPr>
          <w:p w:rsidR="00000000" w:rsidP="00EA1282">
            <w:pPr>
              <w:pStyle w:val="BodyText"/>
              <w:rPr>
                <w:lang w:val="en-NZ"/>
              </w:rPr>
            </w:pPr>
            <w:r w:rsidRPr="00EA1282">
              <w:rPr>
                <w:rStyle w:val="SpecialBold"/>
              </w:rPr>
              <w:t>Work safely according to the legal and regulatory framework</w:t>
            </w:r>
          </w:p>
        </w:tc>
        <w:tc>
          <w:tcPr>
            <w:tcW w:w="770" w:type="dxa"/>
            <w:tcBorders>
              <w:top w:val="nil"/>
              <w:left w:val="nil"/>
              <w:bottom w:val="nil"/>
              <w:right w:val="nil"/>
            </w:tcBorders>
            <w:tcMar>
              <w:top w:w="0" w:type="dxa"/>
              <w:left w:w="62" w:type="dxa"/>
              <w:bottom w:w="0" w:type="dxa"/>
              <w:right w:w="62" w:type="dxa"/>
            </w:tcMar>
          </w:tcPr>
          <w:p w:rsidR="00000000" w:rsidP="00EA1282">
            <w:pPr>
              <w:pStyle w:val="BodyText"/>
              <w:rPr>
                <w:lang w:val="en-NZ"/>
              </w:rPr>
            </w:pPr>
            <w:r w:rsidRPr="00EA1282">
              <w:t>2.1</w:t>
            </w:r>
          </w:p>
        </w:tc>
        <w:tc>
          <w:tcPr>
            <w:tcW w:w="5610" w:type="dxa"/>
            <w:tcBorders>
              <w:top w:val="nil"/>
              <w:left w:val="nil"/>
              <w:bottom w:val="nil"/>
              <w:right w:val="nil"/>
            </w:tcBorders>
            <w:tcMar>
              <w:top w:w="0" w:type="dxa"/>
              <w:left w:w="62" w:type="dxa"/>
              <w:bottom w:w="0" w:type="dxa"/>
              <w:right w:w="62" w:type="dxa"/>
            </w:tcMar>
          </w:tcPr>
          <w:p w:rsidR="00000000" w:rsidP="00EA1282">
            <w:pPr>
              <w:pStyle w:val="BodyText"/>
              <w:rPr>
                <w:lang w:val="en-NZ"/>
              </w:rPr>
            </w:pPr>
            <w:r w:rsidRPr="00EA1282">
              <w:t>Ensure work practices and personal actions conform to all relevant legislation, regulations, codes and guidelines</w:t>
            </w:r>
          </w:p>
        </w:tc>
      </w:tr>
      <w:tr w:rsidTr="00EA12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1282">
            <w:pPr>
              <w:pStyle w:val="BodyText"/>
              <w:rPr>
                <w:lang w:val="en-NZ"/>
              </w:rPr>
            </w:pPr>
            <w:r w:rsidRPr="00EA1282">
              <w:t>2.2</w:t>
            </w:r>
          </w:p>
        </w:tc>
        <w:tc>
          <w:tcPr>
            <w:tcW w:w="5610" w:type="dxa"/>
            <w:tcBorders>
              <w:top w:val="nil"/>
              <w:left w:val="nil"/>
              <w:bottom w:val="nil"/>
              <w:right w:val="nil"/>
            </w:tcBorders>
            <w:tcMar>
              <w:top w:w="0" w:type="dxa"/>
              <w:left w:w="62" w:type="dxa"/>
              <w:bottom w:w="0" w:type="dxa"/>
              <w:right w:w="62" w:type="dxa"/>
            </w:tcMar>
          </w:tcPr>
          <w:p w:rsidR="00000000" w:rsidP="00EA1282">
            <w:pPr>
              <w:pStyle w:val="BodyText"/>
              <w:rPr>
                <w:lang w:val="en-NZ"/>
              </w:rPr>
            </w:pPr>
            <w:r w:rsidRPr="00EA1282">
              <w:t>Identify hazards and workplace safety procedures associated with the specimens, samples, collection and preservation methods, reagents and equipment</w:t>
            </w:r>
          </w:p>
        </w:tc>
      </w:tr>
      <w:tr w:rsidTr="00EA12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1282">
            <w:pPr>
              <w:pStyle w:val="BodyText"/>
              <w:rPr>
                <w:lang w:val="en-NZ"/>
              </w:rPr>
            </w:pPr>
            <w:r w:rsidRPr="00EA1282">
              <w:t>2.3</w:t>
            </w:r>
          </w:p>
        </w:tc>
        <w:tc>
          <w:tcPr>
            <w:tcW w:w="5610" w:type="dxa"/>
            <w:tcBorders>
              <w:top w:val="nil"/>
              <w:left w:val="nil"/>
              <w:bottom w:val="nil"/>
              <w:right w:val="nil"/>
            </w:tcBorders>
            <w:tcMar>
              <w:top w:w="0" w:type="dxa"/>
              <w:left w:w="62" w:type="dxa"/>
              <w:bottom w:w="0" w:type="dxa"/>
              <w:right w:w="62" w:type="dxa"/>
            </w:tcMar>
          </w:tcPr>
          <w:p w:rsidR="00000000" w:rsidP="00EA1282">
            <w:pPr>
              <w:pStyle w:val="BodyText"/>
              <w:rPr>
                <w:lang w:val="en-NZ"/>
              </w:rPr>
            </w:pPr>
            <w:r w:rsidRPr="00EA1282">
              <w:t>Select, fit and use personal protective equipment (PPE)</w:t>
            </w:r>
          </w:p>
        </w:tc>
      </w:tr>
      <w:tr w:rsidTr="00EA12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1282">
            <w:pPr>
              <w:pStyle w:val="BodyText"/>
              <w:rPr>
                <w:lang w:val="en-NZ"/>
              </w:rPr>
            </w:pPr>
            <w:r w:rsidRPr="00EA1282">
              <w:t>2.4</w:t>
            </w:r>
          </w:p>
        </w:tc>
        <w:tc>
          <w:tcPr>
            <w:tcW w:w="5610" w:type="dxa"/>
            <w:tcBorders>
              <w:top w:val="nil"/>
              <w:left w:val="nil"/>
              <w:bottom w:val="nil"/>
              <w:right w:val="nil"/>
            </w:tcBorders>
            <w:tcMar>
              <w:top w:w="0" w:type="dxa"/>
              <w:left w:w="62" w:type="dxa"/>
              <w:bottom w:w="0" w:type="dxa"/>
              <w:right w:w="62" w:type="dxa"/>
            </w:tcMar>
          </w:tcPr>
          <w:p w:rsidR="00000000" w:rsidP="00EA1282">
            <w:pPr>
              <w:pStyle w:val="BodyText"/>
              <w:rPr>
                <w:lang w:val="en-NZ"/>
              </w:rPr>
            </w:pPr>
            <w:r w:rsidRPr="00EA1282">
              <w:t>Address hazards and incidents as they</w:t>
            </w:r>
            <w:r w:rsidRPr="00EA1282">
              <w:t xml:space="preserve"> arise</w:t>
            </w:r>
          </w:p>
        </w:tc>
      </w:tr>
      <w:tr w:rsidTr="00EA12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1282">
            <w:pPr>
              <w:pStyle w:val="BodyText"/>
              <w:rPr>
                <w:lang w:val="en-NZ"/>
              </w:rPr>
            </w:pPr>
            <w:r w:rsidRPr="00EA1282">
              <w:t>2.5</w:t>
            </w:r>
          </w:p>
        </w:tc>
        <w:tc>
          <w:tcPr>
            <w:tcW w:w="5610" w:type="dxa"/>
            <w:tcBorders>
              <w:top w:val="nil"/>
              <w:left w:val="nil"/>
              <w:bottom w:val="nil"/>
              <w:right w:val="nil"/>
            </w:tcBorders>
            <w:tcMar>
              <w:top w:w="0" w:type="dxa"/>
              <w:left w:w="62" w:type="dxa"/>
              <w:bottom w:w="0" w:type="dxa"/>
              <w:right w:w="62" w:type="dxa"/>
            </w:tcMar>
          </w:tcPr>
          <w:p w:rsidR="00000000" w:rsidP="00EA1282">
            <w:pPr>
              <w:pStyle w:val="BodyText"/>
              <w:rPr>
                <w:lang w:val="en-NZ"/>
              </w:rPr>
            </w:pPr>
            <w:r w:rsidRPr="00EA1282">
              <w:t>Ensure the safe disposal of biohazardous materials and other waste</w:t>
            </w:r>
          </w:p>
        </w:tc>
      </w:tr>
      <w:tr w:rsidTr="00EA128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A1282">
            <w:pPr>
              <w:pStyle w:val="BodyText"/>
              <w:rPr>
                <w:lang w:val="en-NZ"/>
              </w:rPr>
            </w:pPr>
          </w:p>
        </w:tc>
      </w:tr>
      <w:tr w:rsidTr="00EA12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A1282" w:rsidP="00EA1282">
            <w:pPr>
              <w:pStyle w:val="BodyText"/>
            </w:pPr>
            <w:r w:rsidRPr="00EA1282">
              <w:t>3</w:t>
            </w:r>
          </w:p>
        </w:tc>
        <w:tc>
          <w:tcPr>
            <w:tcW w:w="1962" w:type="dxa"/>
            <w:vMerge w:val="restart"/>
            <w:tcBorders>
              <w:top w:val="nil"/>
              <w:left w:val="nil"/>
              <w:bottom w:val="nil"/>
              <w:right w:val="nil"/>
            </w:tcBorders>
            <w:tcMar>
              <w:top w:w="0" w:type="dxa"/>
              <w:left w:w="62" w:type="dxa"/>
              <w:bottom w:w="0" w:type="dxa"/>
              <w:right w:w="62" w:type="dxa"/>
            </w:tcMar>
          </w:tcPr>
          <w:p w:rsidR="00000000" w:rsidP="00EA1282">
            <w:pPr>
              <w:pStyle w:val="BodyText"/>
              <w:rPr>
                <w:lang w:val="en-NZ"/>
              </w:rPr>
            </w:pPr>
            <w:r w:rsidRPr="00EA1282">
              <w:rPr>
                <w:rStyle w:val="SpecialBold"/>
              </w:rPr>
              <w:t>Collect plants and animal material</w:t>
            </w:r>
          </w:p>
        </w:tc>
        <w:tc>
          <w:tcPr>
            <w:tcW w:w="770" w:type="dxa"/>
            <w:tcBorders>
              <w:top w:val="nil"/>
              <w:left w:val="nil"/>
              <w:bottom w:val="nil"/>
              <w:right w:val="nil"/>
            </w:tcBorders>
            <w:tcMar>
              <w:top w:w="0" w:type="dxa"/>
              <w:left w:w="62" w:type="dxa"/>
              <w:bottom w:w="0" w:type="dxa"/>
              <w:right w:w="62" w:type="dxa"/>
            </w:tcMar>
          </w:tcPr>
          <w:p w:rsidR="00000000" w:rsidP="00EA1282">
            <w:pPr>
              <w:pStyle w:val="BodyText"/>
              <w:rPr>
                <w:lang w:val="en-NZ"/>
              </w:rPr>
            </w:pPr>
            <w:r w:rsidRPr="00EA1282">
              <w:t>3.1</w:t>
            </w:r>
          </w:p>
        </w:tc>
        <w:tc>
          <w:tcPr>
            <w:tcW w:w="5610" w:type="dxa"/>
            <w:tcBorders>
              <w:top w:val="nil"/>
              <w:left w:val="nil"/>
              <w:bottom w:val="nil"/>
              <w:right w:val="nil"/>
            </w:tcBorders>
            <w:tcMar>
              <w:top w:w="0" w:type="dxa"/>
              <w:left w:w="62" w:type="dxa"/>
              <w:bottom w:w="0" w:type="dxa"/>
              <w:right w:w="62" w:type="dxa"/>
            </w:tcMar>
          </w:tcPr>
          <w:p w:rsidR="00000000" w:rsidP="00EA1282">
            <w:pPr>
              <w:pStyle w:val="BodyText"/>
              <w:rPr>
                <w:lang w:val="en-NZ"/>
              </w:rPr>
            </w:pPr>
            <w:r w:rsidRPr="00EA1282">
              <w:t>Assemble equipment required for collection and preservation</w:t>
            </w:r>
          </w:p>
        </w:tc>
      </w:tr>
      <w:tr w:rsidTr="00EA12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1282">
            <w:pPr>
              <w:pStyle w:val="BodyText"/>
              <w:rPr>
                <w:lang w:val="en-NZ"/>
              </w:rPr>
            </w:pPr>
            <w:r w:rsidRPr="00EA1282">
              <w:t>3.2</w:t>
            </w:r>
          </w:p>
        </w:tc>
        <w:tc>
          <w:tcPr>
            <w:tcW w:w="5610" w:type="dxa"/>
            <w:tcBorders>
              <w:top w:val="nil"/>
              <w:left w:val="nil"/>
              <w:bottom w:val="nil"/>
              <w:right w:val="nil"/>
            </w:tcBorders>
            <w:tcMar>
              <w:top w:w="0" w:type="dxa"/>
              <w:left w:w="62" w:type="dxa"/>
              <w:bottom w:w="0" w:type="dxa"/>
              <w:right w:w="62" w:type="dxa"/>
            </w:tcMar>
          </w:tcPr>
          <w:p w:rsidR="00000000" w:rsidP="00EA1282">
            <w:pPr>
              <w:pStyle w:val="BodyText"/>
              <w:rPr>
                <w:lang w:val="en-NZ"/>
              </w:rPr>
            </w:pPr>
            <w:r w:rsidRPr="00EA1282">
              <w:t>Collect specimens to meet display requirements</w:t>
            </w:r>
          </w:p>
        </w:tc>
      </w:tr>
      <w:tr w:rsidTr="00EA12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1282">
            <w:pPr>
              <w:pStyle w:val="BodyText"/>
              <w:rPr>
                <w:lang w:val="en-NZ"/>
              </w:rPr>
            </w:pPr>
            <w:r w:rsidRPr="00EA1282">
              <w:t>3.3</w:t>
            </w:r>
          </w:p>
        </w:tc>
        <w:tc>
          <w:tcPr>
            <w:tcW w:w="5610" w:type="dxa"/>
            <w:tcBorders>
              <w:top w:val="nil"/>
              <w:left w:val="nil"/>
              <w:bottom w:val="nil"/>
              <w:right w:val="nil"/>
            </w:tcBorders>
            <w:tcMar>
              <w:top w:w="0" w:type="dxa"/>
              <w:left w:w="62" w:type="dxa"/>
              <w:bottom w:w="0" w:type="dxa"/>
              <w:right w:w="62" w:type="dxa"/>
            </w:tcMar>
          </w:tcPr>
          <w:p w:rsidR="00000000" w:rsidP="00EA1282">
            <w:pPr>
              <w:pStyle w:val="BodyText"/>
              <w:rPr>
                <w:lang w:val="en-NZ"/>
              </w:rPr>
            </w:pPr>
            <w:r w:rsidRPr="00EA1282">
              <w:t>Check identification of specimens and assess their suitability for the display</w:t>
            </w:r>
          </w:p>
        </w:tc>
      </w:tr>
      <w:tr w:rsidTr="00EA12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1282">
            <w:pPr>
              <w:pStyle w:val="BodyText"/>
              <w:rPr>
                <w:lang w:val="en-NZ"/>
              </w:rPr>
            </w:pPr>
            <w:r w:rsidRPr="00EA1282">
              <w:t>3.4</w:t>
            </w:r>
          </w:p>
        </w:tc>
        <w:tc>
          <w:tcPr>
            <w:tcW w:w="5610" w:type="dxa"/>
            <w:tcBorders>
              <w:top w:val="nil"/>
              <w:left w:val="nil"/>
              <w:bottom w:val="nil"/>
              <w:right w:val="nil"/>
            </w:tcBorders>
            <w:tcMar>
              <w:top w:w="0" w:type="dxa"/>
              <w:left w:w="62" w:type="dxa"/>
              <w:bottom w:w="0" w:type="dxa"/>
              <w:right w:w="62" w:type="dxa"/>
            </w:tcMar>
          </w:tcPr>
          <w:p w:rsidR="00000000" w:rsidP="00EA1282">
            <w:pPr>
              <w:pStyle w:val="BodyText"/>
              <w:rPr>
                <w:lang w:val="en-NZ"/>
              </w:rPr>
            </w:pPr>
            <w:r w:rsidRPr="00EA1282">
              <w:t>Label specimens and accurately record data to ensure traceability of specimen from the source through to the final display</w:t>
            </w:r>
          </w:p>
        </w:tc>
      </w:tr>
      <w:tr w:rsidTr="00EA12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1282">
            <w:pPr>
              <w:pStyle w:val="BodyText"/>
              <w:rPr>
                <w:lang w:val="en-NZ"/>
              </w:rPr>
            </w:pPr>
            <w:r w:rsidRPr="00EA1282">
              <w:t>3.5</w:t>
            </w:r>
          </w:p>
        </w:tc>
        <w:tc>
          <w:tcPr>
            <w:tcW w:w="5610" w:type="dxa"/>
            <w:tcBorders>
              <w:top w:val="nil"/>
              <w:left w:val="nil"/>
              <w:bottom w:val="nil"/>
              <w:right w:val="nil"/>
            </w:tcBorders>
            <w:tcMar>
              <w:top w:w="0" w:type="dxa"/>
              <w:left w:w="62" w:type="dxa"/>
              <w:bottom w:w="0" w:type="dxa"/>
              <w:right w:w="62" w:type="dxa"/>
            </w:tcMar>
          </w:tcPr>
          <w:p w:rsidR="00000000" w:rsidP="00EA1282">
            <w:pPr>
              <w:pStyle w:val="BodyText"/>
              <w:rPr>
                <w:lang w:val="en-NZ"/>
              </w:rPr>
            </w:pPr>
            <w:r w:rsidRPr="00EA1282">
              <w:t>Store specimens during transportation to ensure it retains the required characteristics</w:t>
            </w:r>
          </w:p>
        </w:tc>
      </w:tr>
      <w:tr w:rsidTr="00EA128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A1282">
            <w:pPr>
              <w:pStyle w:val="BodyText"/>
              <w:rPr>
                <w:lang w:val="en-NZ"/>
              </w:rPr>
            </w:pPr>
          </w:p>
        </w:tc>
      </w:tr>
      <w:tr w:rsidTr="00EA12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A1282" w:rsidP="00EA1282">
            <w:pPr>
              <w:pStyle w:val="BodyText"/>
            </w:pPr>
            <w:r w:rsidRPr="00EA1282">
              <w:t>4</w:t>
            </w:r>
          </w:p>
        </w:tc>
        <w:tc>
          <w:tcPr>
            <w:tcW w:w="1962" w:type="dxa"/>
            <w:vMerge w:val="restart"/>
            <w:tcBorders>
              <w:top w:val="nil"/>
              <w:left w:val="nil"/>
              <w:bottom w:val="nil"/>
              <w:right w:val="nil"/>
            </w:tcBorders>
            <w:tcMar>
              <w:top w:w="0" w:type="dxa"/>
              <w:left w:w="62" w:type="dxa"/>
              <w:bottom w:w="0" w:type="dxa"/>
              <w:right w:w="62" w:type="dxa"/>
            </w:tcMar>
          </w:tcPr>
          <w:p w:rsidR="00000000" w:rsidP="00EA1282">
            <w:pPr>
              <w:pStyle w:val="BodyText"/>
              <w:rPr>
                <w:lang w:val="en-NZ"/>
              </w:rPr>
            </w:pPr>
            <w:r w:rsidRPr="00EA1282">
              <w:rPr>
                <w:rStyle w:val="SpecialBold"/>
              </w:rPr>
              <w:t>Preserve plant and animal material</w:t>
            </w:r>
          </w:p>
        </w:tc>
        <w:tc>
          <w:tcPr>
            <w:tcW w:w="770" w:type="dxa"/>
            <w:tcBorders>
              <w:top w:val="nil"/>
              <w:left w:val="nil"/>
              <w:bottom w:val="nil"/>
              <w:right w:val="nil"/>
            </w:tcBorders>
            <w:tcMar>
              <w:top w:w="0" w:type="dxa"/>
              <w:left w:w="62" w:type="dxa"/>
              <w:bottom w:w="0" w:type="dxa"/>
              <w:right w:w="62" w:type="dxa"/>
            </w:tcMar>
          </w:tcPr>
          <w:p w:rsidR="00000000" w:rsidP="00EA1282">
            <w:pPr>
              <w:pStyle w:val="BodyText"/>
              <w:rPr>
                <w:lang w:val="en-NZ"/>
              </w:rPr>
            </w:pPr>
            <w:r w:rsidRPr="00EA1282">
              <w:t>4.1</w:t>
            </w:r>
          </w:p>
        </w:tc>
        <w:tc>
          <w:tcPr>
            <w:tcW w:w="5610" w:type="dxa"/>
            <w:tcBorders>
              <w:top w:val="nil"/>
              <w:left w:val="nil"/>
              <w:bottom w:val="nil"/>
              <w:right w:val="nil"/>
            </w:tcBorders>
            <w:tcMar>
              <w:top w:w="0" w:type="dxa"/>
              <w:left w:w="62" w:type="dxa"/>
              <w:bottom w:w="0" w:type="dxa"/>
              <w:right w:w="62" w:type="dxa"/>
            </w:tcMar>
          </w:tcPr>
          <w:p w:rsidR="00000000" w:rsidP="00EA1282">
            <w:pPr>
              <w:pStyle w:val="BodyText"/>
              <w:rPr>
                <w:lang w:val="en-NZ"/>
              </w:rPr>
            </w:pPr>
            <w:r w:rsidRPr="00EA1282">
              <w:t>Confirm the identification of specimens and suitability for the purpose</w:t>
            </w:r>
          </w:p>
        </w:tc>
      </w:tr>
      <w:tr w:rsidTr="00EA12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1282">
            <w:pPr>
              <w:pStyle w:val="BodyText"/>
              <w:rPr>
                <w:lang w:val="en-NZ"/>
              </w:rPr>
            </w:pPr>
            <w:r w:rsidRPr="00EA1282">
              <w:t>4.2</w:t>
            </w:r>
          </w:p>
        </w:tc>
        <w:tc>
          <w:tcPr>
            <w:tcW w:w="5610" w:type="dxa"/>
            <w:tcBorders>
              <w:top w:val="nil"/>
              <w:left w:val="nil"/>
              <w:bottom w:val="nil"/>
              <w:right w:val="nil"/>
            </w:tcBorders>
            <w:tcMar>
              <w:top w:w="0" w:type="dxa"/>
              <w:left w:w="62" w:type="dxa"/>
              <w:bottom w:w="0" w:type="dxa"/>
              <w:right w:w="62" w:type="dxa"/>
            </w:tcMar>
          </w:tcPr>
          <w:p w:rsidR="00000000" w:rsidP="00EA1282">
            <w:pPr>
              <w:pStyle w:val="BodyText"/>
              <w:rPr>
                <w:lang w:val="en-NZ"/>
              </w:rPr>
            </w:pPr>
            <w:r w:rsidRPr="00EA1282">
              <w:t>Examine the specimens and record data</w:t>
            </w:r>
          </w:p>
        </w:tc>
      </w:tr>
      <w:tr w:rsidTr="00EA12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1282">
            <w:pPr>
              <w:pStyle w:val="BodyText"/>
              <w:rPr>
                <w:lang w:val="en-NZ"/>
              </w:rPr>
            </w:pPr>
            <w:r w:rsidRPr="00EA1282">
              <w:t>4.3</w:t>
            </w:r>
          </w:p>
        </w:tc>
        <w:tc>
          <w:tcPr>
            <w:tcW w:w="5610" w:type="dxa"/>
            <w:tcBorders>
              <w:top w:val="nil"/>
              <w:left w:val="nil"/>
              <w:bottom w:val="nil"/>
              <w:right w:val="nil"/>
            </w:tcBorders>
            <w:tcMar>
              <w:top w:w="0" w:type="dxa"/>
              <w:left w:w="62" w:type="dxa"/>
              <w:bottom w:w="0" w:type="dxa"/>
              <w:right w:w="62" w:type="dxa"/>
            </w:tcMar>
          </w:tcPr>
          <w:p w:rsidR="00000000" w:rsidP="00EA1282">
            <w:pPr>
              <w:pStyle w:val="BodyText"/>
              <w:rPr>
                <w:lang w:val="en-NZ"/>
              </w:rPr>
            </w:pPr>
            <w:r w:rsidRPr="00EA1282">
              <w:t>Take samples from the specimens and prepare them for preservation</w:t>
            </w:r>
          </w:p>
        </w:tc>
      </w:tr>
      <w:tr w:rsidTr="00EA12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1282">
            <w:pPr>
              <w:pStyle w:val="BodyText"/>
              <w:rPr>
                <w:lang w:val="en-NZ"/>
              </w:rPr>
            </w:pPr>
            <w:r w:rsidRPr="00EA1282">
              <w:t>4.4</w:t>
            </w:r>
          </w:p>
        </w:tc>
        <w:tc>
          <w:tcPr>
            <w:tcW w:w="5610" w:type="dxa"/>
            <w:tcBorders>
              <w:top w:val="nil"/>
              <w:left w:val="nil"/>
              <w:bottom w:val="nil"/>
              <w:right w:val="nil"/>
            </w:tcBorders>
            <w:tcMar>
              <w:top w:w="0" w:type="dxa"/>
              <w:left w:w="62" w:type="dxa"/>
              <w:bottom w:w="0" w:type="dxa"/>
              <w:right w:w="62" w:type="dxa"/>
            </w:tcMar>
          </w:tcPr>
          <w:p w:rsidR="00000000" w:rsidP="00EA1282">
            <w:pPr>
              <w:pStyle w:val="BodyText"/>
              <w:rPr>
                <w:lang w:val="en-NZ"/>
              </w:rPr>
            </w:pPr>
            <w:r w:rsidRPr="00EA1282">
              <w:t>Preserve the specimens using workplace procedures</w:t>
            </w:r>
          </w:p>
        </w:tc>
      </w:tr>
      <w:tr w:rsidTr="00EA128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EA1282">
            <w:pPr>
              <w:pStyle w:val="BodyText"/>
              <w:rPr>
                <w:lang w:val="en-NZ"/>
              </w:rPr>
            </w:pPr>
          </w:p>
        </w:tc>
      </w:tr>
      <w:tr w:rsidTr="00EA12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EA1282" w:rsidP="00EA1282">
            <w:pPr>
              <w:pStyle w:val="BodyText"/>
            </w:pPr>
            <w:r w:rsidRPr="00EA1282">
              <w:t>5</w:t>
            </w:r>
          </w:p>
        </w:tc>
        <w:tc>
          <w:tcPr>
            <w:tcW w:w="1962" w:type="dxa"/>
            <w:vMerge w:val="restart"/>
            <w:tcBorders>
              <w:top w:val="nil"/>
              <w:left w:val="nil"/>
              <w:bottom w:val="nil"/>
              <w:right w:val="nil"/>
            </w:tcBorders>
            <w:tcMar>
              <w:top w:w="0" w:type="dxa"/>
              <w:left w:w="62" w:type="dxa"/>
              <w:bottom w:w="0" w:type="dxa"/>
              <w:right w:w="62" w:type="dxa"/>
            </w:tcMar>
          </w:tcPr>
          <w:p w:rsidR="00000000" w:rsidP="00EA1282">
            <w:pPr>
              <w:pStyle w:val="BodyText"/>
              <w:rPr>
                <w:lang w:val="en-NZ"/>
              </w:rPr>
            </w:pPr>
            <w:r w:rsidRPr="00EA1282">
              <w:rPr>
                <w:rStyle w:val="SpecialBold"/>
              </w:rPr>
              <w:t>Display plant and animal material</w:t>
            </w:r>
          </w:p>
        </w:tc>
        <w:tc>
          <w:tcPr>
            <w:tcW w:w="770" w:type="dxa"/>
            <w:tcBorders>
              <w:top w:val="nil"/>
              <w:left w:val="nil"/>
              <w:bottom w:val="nil"/>
              <w:right w:val="nil"/>
            </w:tcBorders>
            <w:tcMar>
              <w:top w:w="0" w:type="dxa"/>
              <w:left w:w="62" w:type="dxa"/>
              <w:bottom w:w="0" w:type="dxa"/>
              <w:right w:w="62" w:type="dxa"/>
            </w:tcMar>
          </w:tcPr>
          <w:p w:rsidR="00000000" w:rsidP="00EA1282">
            <w:pPr>
              <w:pStyle w:val="BodyText"/>
              <w:rPr>
                <w:lang w:val="en-NZ"/>
              </w:rPr>
            </w:pPr>
            <w:r w:rsidRPr="00EA1282">
              <w:t>5.1</w:t>
            </w:r>
          </w:p>
        </w:tc>
        <w:tc>
          <w:tcPr>
            <w:tcW w:w="5610" w:type="dxa"/>
            <w:tcBorders>
              <w:top w:val="nil"/>
              <w:left w:val="nil"/>
              <w:bottom w:val="nil"/>
              <w:right w:val="nil"/>
            </w:tcBorders>
            <w:tcMar>
              <w:top w:w="0" w:type="dxa"/>
              <w:left w:w="62" w:type="dxa"/>
              <w:bottom w:w="0" w:type="dxa"/>
              <w:right w:w="62" w:type="dxa"/>
            </w:tcMar>
          </w:tcPr>
          <w:p w:rsidR="00000000" w:rsidP="00EA1282">
            <w:pPr>
              <w:pStyle w:val="BodyText"/>
              <w:rPr>
                <w:lang w:val="en-NZ"/>
              </w:rPr>
            </w:pPr>
            <w:r w:rsidRPr="00EA1282">
              <w:t xml:space="preserve">Ensure the specimen is conserved to minimise deterioration </w:t>
            </w:r>
          </w:p>
        </w:tc>
      </w:tr>
      <w:tr w:rsidTr="00EA128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A1282">
            <w:pPr>
              <w:pStyle w:val="BodyText"/>
              <w:rPr>
                <w:lang w:val="en-NZ"/>
              </w:rPr>
            </w:pPr>
            <w:r w:rsidRPr="00EA1282">
              <w:t>5.2</w:t>
            </w:r>
          </w:p>
        </w:tc>
        <w:tc>
          <w:tcPr>
            <w:tcW w:w="5610" w:type="dxa"/>
            <w:tcBorders>
              <w:top w:val="nil"/>
              <w:left w:val="nil"/>
              <w:bottom w:val="nil"/>
              <w:right w:val="nil"/>
            </w:tcBorders>
            <w:tcMar>
              <w:top w:w="0" w:type="dxa"/>
              <w:left w:w="62" w:type="dxa"/>
              <w:bottom w:w="0" w:type="dxa"/>
              <w:right w:w="62" w:type="dxa"/>
            </w:tcMar>
          </w:tcPr>
          <w:p w:rsidR="00000000" w:rsidRPr="00EA1282" w:rsidP="00EA1282">
            <w:pPr>
              <w:pStyle w:val="BodyText"/>
            </w:pPr>
            <w:r w:rsidRPr="00EA1282">
              <w:t>Place the preserved specimen in the display to meet the display plan and security requirements</w:t>
            </w:r>
          </w:p>
        </w:tc>
      </w:tr>
    </w:tbl>
    <w:p w:rsidR="00000000" w:rsidRPr="00EA1282" w:rsidP="00EA1282">
      <w:pPr>
        <w:pStyle w:val="BodyText"/>
      </w:pPr>
    </w:p>
    <w:p w:rsidR="00000000" w:rsidRPr="00EA1282" w:rsidP="00EA1282">
      <w:pPr>
        <w:pStyle w:val="AllowPageBreak"/>
      </w:pPr>
    </w:p>
    <w:p w:rsidR="00000000" w:rsidRPr="00EA1282" w:rsidP="00EA1282">
      <w:pPr>
        <w:pStyle w:val="Heading1"/>
      </w:pPr>
      <w:bookmarkStart w:id="7" w:name="O_901822"/>
      <w:bookmarkEnd w:id="7"/>
      <w:r w:rsidRPr="00EA1282">
        <w:t>Foundation Skills</w:t>
      </w:r>
    </w:p>
    <w:p w:rsidR="00000000" w:rsidRPr="00EA1282" w:rsidP="00670248">
      <w:pPr>
        <w:pStyle w:val="BodyText"/>
      </w:pPr>
      <w:r w:rsidRPr="00EA1282">
        <w:t>This section describes those language, literacy, numeracy and employment skills that are essential to performance.</w:t>
      </w:r>
    </w:p>
    <w:p w:rsidR="00000000" w:rsidRPr="00EA1282" w:rsidP="00670248">
      <w:pPr>
        <w:pStyle w:val="BodyText"/>
      </w:pPr>
      <w:r w:rsidRPr="00EA1282">
        <w:t>Foundati</w:t>
      </w:r>
      <w:r w:rsidRPr="00EA1282">
        <w:t>on skills essential to performance are explicit in the performance criteria of this unit of competency.</w:t>
      </w:r>
    </w:p>
    <w:p w:rsidR="00000000" w:rsidRPr="00EA1282" w:rsidP="00EA1282">
      <w:pPr>
        <w:pStyle w:val="Heading1"/>
      </w:pPr>
      <w:bookmarkStart w:id="8" w:name="O_901821"/>
      <w:bookmarkEnd w:id="8"/>
      <w:r w:rsidRPr="00EA1282">
        <w:t>Range of Conditions</w:t>
      </w:r>
    </w:p>
    <w:tbl>
      <w:tblPr>
        <w:tblW w:w="0" w:type="auto"/>
        <w:tblCellMar>
          <w:left w:w="62" w:type="dxa"/>
          <w:right w:w="62" w:type="dxa"/>
        </w:tblCellMar>
        <w:tblLook w:val="0000"/>
      </w:tblPr>
      <w:tblGrid>
        <w:gridCol w:w="2163"/>
        <w:gridCol w:w="7033"/>
      </w:tblGrid>
      <w:tr w:rsidTr="0067024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A1282">
            <w:pPr>
              <w:pStyle w:val="BodyText"/>
              <w:rPr>
                <w:lang w:val="en-NZ"/>
              </w:rPr>
            </w:pPr>
            <w:r w:rsidRPr="00EA1282">
              <w:t>This field allows for different work environments and conditions that may affect performance. Essential operating c</w:t>
            </w:r>
            <w:r w:rsidRPr="00EA1282">
              <w:t>onditions that may be present (depending on the work situation, needs of the candidate, accessibility of the item, and local industry and regional contexts) are included.</w:t>
            </w:r>
          </w:p>
        </w:tc>
      </w:tr>
      <w:tr w:rsidTr="006702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1282">
            <w:pPr>
              <w:pStyle w:val="BodyText"/>
              <w:rPr>
                <w:lang w:val="en-NZ"/>
              </w:rPr>
            </w:pPr>
            <w:r w:rsidRPr="00EA1282">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EA1282" w:rsidP="00EA1282">
            <w:pPr>
              <w:pStyle w:val="BodyText"/>
            </w:pPr>
            <w:r w:rsidRPr="00EA1282">
              <w:t>Standards, codes, procedures and/or workplace requirements include the latest version of one or more of:</w:t>
            </w:r>
          </w:p>
          <w:p w:rsidR="00000000" w:rsidRPr="00EA1282" w:rsidP="00EA1282">
            <w:pPr>
              <w:pStyle w:val="ListBullet"/>
            </w:pPr>
            <w:r w:rsidRPr="00EA1282">
              <w:t>Australian and international standards, guidelines and codes covering safety in laboratories; occupational protective equipment; labelling of workplac</w:t>
            </w:r>
            <w:r w:rsidRPr="00EA1282">
              <w:t>e substances; storage, handling and transport of dangerous goods; environmental management; biological safety cabinets, and physical containment levels and facility types</w:t>
            </w:r>
          </w:p>
          <w:p w:rsidR="00000000" w:rsidRPr="00EA1282" w:rsidP="00EA1282">
            <w:pPr>
              <w:pStyle w:val="ListBullet"/>
            </w:pPr>
            <w:r w:rsidRPr="00EA1282">
              <w:t>national work health and safety (WHS) standards, animal welfare legislation and codes</w:t>
            </w:r>
            <w:r w:rsidRPr="00EA1282">
              <w:t xml:space="preserve"> of practice, and permits for wildlife capture and handling</w:t>
            </w:r>
          </w:p>
          <w:p w:rsidR="00000000" w:rsidRPr="00EA1282" w:rsidP="00EA1282">
            <w:pPr>
              <w:pStyle w:val="ListBullet"/>
            </w:pPr>
            <w:r w:rsidRPr="00EA1282">
              <w:t xml:space="preserve">specific codes, regulations, guidelines, procedures and methods, such as gene technology regulations, Australian Dangerous Goods Code, animal welfare legislation and codes of practice, Australian </w:t>
            </w:r>
            <w:r w:rsidRPr="00EA1282">
              <w:t>Quarantine and Inspection Service (AQIS) Import Guidelines, and principles of good laboratory practice (GLP)</w:t>
            </w:r>
          </w:p>
          <w:p w:rsidR="00000000" w:rsidP="00EA1282">
            <w:pPr>
              <w:pStyle w:val="BodyText"/>
              <w:rPr>
                <w:lang w:val="en-NZ"/>
              </w:rPr>
            </w:pPr>
          </w:p>
        </w:tc>
      </w:tr>
      <w:tr w:rsidTr="006702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1282">
            <w:pPr>
              <w:pStyle w:val="BodyText"/>
              <w:rPr>
                <w:lang w:val="en-NZ"/>
              </w:rPr>
            </w:pPr>
            <w:r w:rsidRPr="00EA1282">
              <w:rPr>
                <w:rStyle w:val="SpecialBold"/>
              </w:rPr>
              <w:t xml:space="preserve">Staff </w:t>
            </w:r>
          </w:p>
        </w:tc>
        <w:tc>
          <w:tcPr>
            <w:tcW w:w="0" w:type="auto"/>
            <w:tcBorders>
              <w:top w:val="nil"/>
              <w:left w:val="nil"/>
              <w:bottom w:val="nil"/>
              <w:right w:val="nil"/>
            </w:tcBorders>
            <w:tcMar>
              <w:top w:w="0" w:type="dxa"/>
              <w:left w:w="62" w:type="dxa"/>
              <w:bottom w:w="0" w:type="dxa"/>
              <w:right w:w="62" w:type="dxa"/>
            </w:tcMar>
          </w:tcPr>
          <w:p w:rsidR="00000000" w:rsidRPr="00EA1282" w:rsidP="00EA1282">
            <w:pPr>
              <w:pStyle w:val="BodyText"/>
            </w:pPr>
            <w:r w:rsidRPr="00EA1282">
              <w:t xml:space="preserve">Staff include, but are not limited to, one or more of: </w:t>
            </w:r>
          </w:p>
          <w:p w:rsidR="00000000" w:rsidRPr="00EA1282" w:rsidP="00EA1282">
            <w:pPr>
              <w:pStyle w:val="ListBullet"/>
            </w:pPr>
            <w:r w:rsidRPr="00EA1282">
              <w:t>curator</w:t>
            </w:r>
          </w:p>
          <w:p w:rsidR="00000000" w:rsidRPr="00EA1282" w:rsidP="00EA1282">
            <w:pPr>
              <w:pStyle w:val="ListBullet"/>
            </w:pPr>
            <w:r w:rsidRPr="00EA1282">
              <w:t>conservator</w:t>
            </w:r>
          </w:p>
          <w:p w:rsidR="00000000" w:rsidRPr="00EA1282" w:rsidP="00EA1282">
            <w:pPr>
              <w:pStyle w:val="ListBullet"/>
            </w:pPr>
            <w:r w:rsidRPr="00EA1282">
              <w:t>design exhibition project officer</w:t>
            </w:r>
          </w:p>
          <w:p w:rsidR="00000000" w:rsidRPr="00EA1282" w:rsidP="00EA1282">
            <w:pPr>
              <w:pStyle w:val="ListBullet"/>
            </w:pPr>
            <w:r w:rsidRPr="00EA1282">
              <w:t>project manager</w:t>
            </w:r>
          </w:p>
          <w:p w:rsidR="00000000" w:rsidP="00EA1282">
            <w:pPr>
              <w:pStyle w:val="ListBullet"/>
              <w:rPr>
                <w:lang w:val="en-NZ"/>
              </w:rPr>
            </w:pPr>
          </w:p>
        </w:tc>
      </w:tr>
      <w:tr w:rsidTr="006702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1282">
            <w:pPr>
              <w:pStyle w:val="BodyText"/>
              <w:rPr>
                <w:lang w:val="en-NZ"/>
              </w:rPr>
            </w:pPr>
            <w:r w:rsidRPr="00EA1282">
              <w:rPr>
                <w:rStyle w:val="SpecialBold"/>
              </w:rPr>
              <w:t xml:space="preserve">Requirements of a display plan </w:t>
            </w:r>
          </w:p>
        </w:tc>
        <w:tc>
          <w:tcPr>
            <w:tcW w:w="0" w:type="auto"/>
            <w:tcBorders>
              <w:top w:val="nil"/>
              <w:left w:val="nil"/>
              <w:bottom w:val="nil"/>
              <w:right w:val="nil"/>
            </w:tcBorders>
            <w:tcMar>
              <w:top w:w="0" w:type="dxa"/>
              <w:left w:w="62" w:type="dxa"/>
              <w:bottom w:w="0" w:type="dxa"/>
              <w:right w:w="62" w:type="dxa"/>
            </w:tcMar>
          </w:tcPr>
          <w:p w:rsidR="00000000" w:rsidRPr="00EA1282" w:rsidP="00EA1282">
            <w:pPr>
              <w:pStyle w:val="BodyText"/>
            </w:pPr>
            <w:r w:rsidRPr="00EA1282">
              <w:t>Requirements of a display plan include, but are not limited to, one or more of:</w:t>
            </w:r>
          </w:p>
          <w:p w:rsidR="00000000" w:rsidRPr="00EA1282" w:rsidP="00EA1282">
            <w:pPr>
              <w:pStyle w:val="ListBullet"/>
            </w:pPr>
            <w:r w:rsidRPr="00EA1282">
              <w:t>purpose (public display or part of a collection for research purposes)</w:t>
            </w:r>
          </w:p>
          <w:p w:rsidR="00000000" w:rsidRPr="00EA1282" w:rsidP="00EA1282">
            <w:pPr>
              <w:pStyle w:val="ListBullet"/>
            </w:pPr>
            <w:r w:rsidRPr="00EA1282">
              <w:t>length of time (permanent or temporary)</w:t>
            </w:r>
          </w:p>
          <w:p w:rsidR="00000000" w:rsidRPr="00EA1282" w:rsidP="00EA1282">
            <w:pPr>
              <w:pStyle w:val="ListBullet"/>
            </w:pPr>
            <w:r w:rsidRPr="00EA1282">
              <w:t>accessibility (static or interac</w:t>
            </w:r>
            <w:r w:rsidRPr="00EA1282">
              <w:t>tive)</w:t>
            </w:r>
          </w:p>
          <w:p w:rsidR="00000000" w:rsidRPr="00EA1282" w:rsidP="00EA1282">
            <w:pPr>
              <w:pStyle w:val="ListBullet"/>
            </w:pPr>
            <w:r w:rsidRPr="00EA1282">
              <w:t>type (diorama, live or preserved specimens and additions to existing showcase)</w:t>
            </w:r>
          </w:p>
          <w:p w:rsidR="00000000" w:rsidRPr="00EA1282" w:rsidP="00EA1282">
            <w:pPr>
              <w:pStyle w:val="ListBullet"/>
            </w:pPr>
            <w:r w:rsidRPr="00EA1282">
              <w:t>two- or three-dimensional</w:t>
            </w:r>
          </w:p>
          <w:p w:rsidR="00000000" w:rsidRPr="00EA1282" w:rsidP="00EA1282">
            <w:pPr>
              <w:pStyle w:val="ListBullet"/>
            </w:pPr>
            <w:r w:rsidRPr="00EA1282">
              <w:t>exclusion of pests</w:t>
            </w:r>
          </w:p>
          <w:p w:rsidR="00000000" w:rsidRPr="00EA1282" w:rsidP="00EA1282">
            <w:pPr>
              <w:pStyle w:val="ListBullet"/>
            </w:pPr>
            <w:r w:rsidRPr="00EA1282">
              <w:t>specific features of the specimen to be demonstrated</w:t>
            </w:r>
          </w:p>
          <w:p w:rsidR="00000000" w:rsidRPr="00EA1282" w:rsidP="00EA1282">
            <w:pPr>
              <w:pStyle w:val="ListBullet"/>
            </w:pPr>
            <w:r w:rsidRPr="00EA1282">
              <w:t>lighting that is sympathetic to the conservation of the specimen</w:t>
            </w:r>
          </w:p>
          <w:p w:rsidR="00000000" w:rsidRPr="00EA1282" w:rsidP="00EA1282">
            <w:pPr>
              <w:pStyle w:val="ListBullet"/>
            </w:pPr>
            <w:r w:rsidRPr="00EA1282">
              <w:t>security (particularly for valuable, vulnerable or irreplaceable specimens)</w:t>
            </w:r>
          </w:p>
          <w:p w:rsidR="00000000" w:rsidRPr="00EA1282" w:rsidP="00EA1282">
            <w:pPr>
              <w:pStyle w:val="ListBullet"/>
            </w:pPr>
            <w:r w:rsidRPr="00EA1282">
              <w:t>user-friendliness for both visitors and maintenance staff</w:t>
            </w:r>
          </w:p>
          <w:p w:rsidR="00000000" w:rsidP="00EA1282">
            <w:pPr>
              <w:pStyle w:val="BodyText"/>
              <w:rPr>
                <w:lang w:val="en-NZ"/>
              </w:rPr>
            </w:pPr>
          </w:p>
        </w:tc>
      </w:tr>
      <w:tr w:rsidTr="006702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1282">
            <w:pPr>
              <w:pStyle w:val="BodyText"/>
              <w:rPr>
                <w:lang w:val="en-NZ"/>
              </w:rPr>
            </w:pPr>
            <w:r w:rsidRPr="00EA1282">
              <w:rPr>
                <w:rStyle w:val="SpecialBold"/>
              </w:rPr>
              <w:t xml:space="preserve">Collection </w:t>
            </w:r>
          </w:p>
        </w:tc>
        <w:tc>
          <w:tcPr>
            <w:tcW w:w="0" w:type="auto"/>
            <w:tcBorders>
              <w:top w:val="nil"/>
              <w:left w:val="nil"/>
              <w:bottom w:val="nil"/>
              <w:right w:val="nil"/>
            </w:tcBorders>
            <w:tcMar>
              <w:top w:w="0" w:type="dxa"/>
              <w:left w:w="62" w:type="dxa"/>
              <w:bottom w:w="0" w:type="dxa"/>
              <w:right w:w="62" w:type="dxa"/>
            </w:tcMar>
          </w:tcPr>
          <w:p w:rsidR="00000000" w:rsidRPr="00EA1282" w:rsidP="00EA1282">
            <w:pPr>
              <w:pStyle w:val="BodyText"/>
            </w:pPr>
            <w:r w:rsidRPr="00EA1282">
              <w:t>Collection includes, but is not limited to, one or more of:</w:t>
            </w:r>
          </w:p>
          <w:p w:rsidR="00000000" w:rsidRPr="00EA1282" w:rsidP="00EA1282">
            <w:pPr>
              <w:pStyle w:val="ListBullet"/>
            </w:pPr>
            <w:r w:rsidRPr="00EA1282">
              <w:t>collecting live specimens from the wild</w:t>
            </w:r>
          </w:p>
          <w:p w:rsidR="00000000" w:rsidRPr="00EA1282" w:rsidP="00EA1282">
            <w:pPr>
              <w:pStyle w:val="ListBullet"/>
            </w:pPr>
            <w:r w:rsidRPr="00EA1282">
              <w:t>accessi</w:t>
            </w:r>
            <w:r w:rsidRPr="00EA1282">
              <w:t>ng specimens from existing collections in the base or other institutions</w:t>
            </w:r>
          </w:p>
          <w:p w:rsidR="00000000" w:rsidRPr="00EA1282" w:rsidP="00EA1282">
            <w:pPr>
              <w:pStyle w:val="ListBullet"/>
            </w:pPr>
            <w:r w:rsidRPr="00EA1282">
              <w:t>netting, trapping and light traps</w:t>
            </w:r>
          </w:p>
          <w:p w:rsidR="00000000" w:rsidRPr="00EA1282" w:rsidP="00EA1282">
            <w:pPr>
              <w:pStyle w:val="ListBullet"/>
            </w:pPr>
            <w:r w:rsidRPr="00EA1282">
              <w:t>use of euthanasia techniques, such as shooting, stunning, anaesthetics, gases and chemicals</w:t>
            </w:r>
          </w:p>
          <w:p w:rsidR="00000000" w:rsidP="00EA1282">
            <w:pPr>
              <w:pStyle w:val="BodyText"/>
              <w:rPr>
                <w:lang w:val="en-NZ"/>
              </w:rPr>
            </w:pPr>
          </w:p>
        </w:tc>
      </w:tr>
      <w:tr w:rsidTr="006702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1282">
            <w:pPr>
              <w:pStyle w:val="BodyText"/>
              <w:rPr>
                <w:lang w:val="en-NZ"/>
              </w:rPr>
            </w:pPr>
            <w:r w:rsidRPr="00EA1282">
              <w:rPr>
                <w:rStyle w:val="SpecialBold"/>
              </w:rPr>
              <w:t xml:space="preserve">Identification </w:t>
            </w:r>
          </w:p>
        </w:tc>
        <w:tc>
          <w:tcPr>
            <w:tcW w:w="0" w:type="auto"/>
            <w:tcBorders>
              <w:top w:val="nil"/>
              <w:left w:val="nil"/>
              <w:bottom w:val="nil"/>
              <w:right w:val="nil"/>
            </w:tcBorders>
            <w:tcMar>
              <w:top w:w="0" w:type="dxa"/>
              <w:left w:w="62" w:type="dxa"/>
              <w:bottom w:w="0" w:type="dxa"/>
              <w:right w:w="62" w:type="dxa"/>
            </w:tcMar>
          </w:tcPr>
          <w:p w:rsidR="00000000" w:rsidRPr="00EA1282" w:rsidP="00EA1282">
            <w:pPr>
              <w:pStyle w:val="BodyText"/>
            </w:pPr>
            <w:r w:rsidRPr="00EA1282">
              <w:t>Identification includes, but is not limited to, one or more of:</w:t>
            </w:r>
          </w:p>
          <w:p w:rsidR="00000000" w:rsidRPr="00EA1282" w:rsidP="00EA1282">
            <w:pPr>
              <w:pStyle w:val="ListBullet"/>
            </w:pPr>
            <w:r w:rsidRPr="00EA1282">
              <w:t>collection access number</w:t>
            </w:r>
          </w:p>
          <w:p w:rsidR="00000000" w:rsidRPr="00EA1282" w:rsidP="00EA1282">
            <w:pPr>
              <w:pStyle w:val="ListBullet"/>
            </w:pPr>
            <w:r w:rsidRPr="00EA1282">
              <w:t>tags and labels on existing specimens</w:t>
            </w:r>
          </w:p>
          <w:p w:rsidR="00000000" w:rsidRPr="00EA1282" w:rsidP="00EA1282">
            <w:pPr>
              <w:pStyle w:val="ListBullet"/>
            </w:pPr>
            <w:r w:rsidRPr="00EA1282">
              <w:t>use of field guides, keys and taxonomic charts</w:t>
            </w:r>
          </w:p>
          <w:p w:rsidR="00000000" w:rsidRPr="00EA1282" w:rsidP="00EA1282">
            <w:pPr>
              <w:pStyle w:val="ListBullet"/>
            </w:pPr>
            <w:r w:rsidRPr="00EA1282">
              <w:t>collaboration with experts</w:t>
            </w:r>
          </w:p>
          <w:p w:rsidR="00000000" w:rsidP="00EA1282">
            <w:pPr>
              <w:pStyle w:val="BodyText"/>
              <w:rPr>
                <w:lang w:val="en-NZ"/>
              </w:rPr>
            </w:pPr>
          </w:p>
        </w:tc>
      </w:tr>
      <w:tr w:rsidTr="006702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1282">
            <w:pPr>
              <w:pStyle w:val="BodyText"/>
              <w:rPr>
                <w:lang w:val="en-NZ"/>
              </w:rPr>
            </w:pPr>
            <w:r w:rsidRPr="00EA1282">
              <w:rPr>
                <w:rStyle w:val="SpecialBold"/>
              </w:rPr>
              <w:t xml:space="preserve">Suitability of specimen </w:t>
            </w:r>
          </w:p>
        </w:tc>
        <w:tc>
          <w:tcPr>
            <w:tcW w:w="0" w:type="auto"/>
            <w:tcBorders>
              <w:top w:val="nil"/>
              <w:left w:val="nil"/>
              <w:bottom w:val="nil"/>
              <w:right w:val="nil"/>
            </w:tcBorders>
            <w:tcMar>
              <w:top w:w="0" w:type="dxa"/>
              <w:left w:w="62" w:type="dxa"/>
              <w:bottom w:w="0" w:type="dxa"/>
              <w:right w:w="62" w:type="dxa"/>
            </w:tcMar>
          </w:tcPr>
          <w:p w:rsidR="00000000" w:rsidRPr="00EA1282" w:rsidP="00EA1282">
            <w:pPr>
              <w:pStyle w:val="BodyText"/>
            </w:pPr>
            <w:r w:rsidRPr="00EA1282">
              <w:t>Suitability of specimen inc</w:t>
            </w:r>
            <w:r w:rsidRPr="00EA1282">
              <w:t>ludes, but is not limited to, one or more of:</w:t>
            </w:r>
          </w:p>
          <w:p w:rsidR="00000000" w:rsidRPr="00EA1282" w:rsidP="00EA1282">
            <w:pPr>
              <w:pStyle w:val="ListBullet"/>
            </w:pPr>
            <w:r w:rsidRPr="00EA1282">
              <w:t>whole or part</w:t>
            </w:r>
          </w:p>
          <w:p w:rsidR="00000000" w:rsidRPr="00EA1282" w:rsidP="00EA1282">
            <w:pPr>
              <w:pStyle w:val="ListBullet"/>
            </w:pPr>
            <w:r w:rsidRPr="00EA1282">
              <w:t>sex, age and breeding condition</w:t>
            </w:r>
          </w:p>
          <w:p w:rsidR="00000000" w:rsidRPr="00EA1282" w:rsidP="00EA1282">
            <w:pPr>
              <w:pStyle w:val="ListBullet"/>
            </w:pPr>
            <w:r w:rsidRPr="00EA1282">
              <w:t>type and characteristics</w:t>
            </w:r>
          </w:p>
          <w:p w:rsidR="00000000" w:rsidRPr="00EA1282" w:rsidP="00EA1282">
            <w:pPr>
              <w:pStyle w:val="ListBullet"/>
            </w:pPr>
            <w:r w:rsidRPr="00EA1282">
              <w:t>level of preservation</w:t>
            </w:r>
          </w:p>
          <w:p w:rsidR="00000000" w:rsidRPr="00EA1282" w:rsidP="00EA1282">
            <w:pPr>
              <w:pStyle w:val="ListBullet"/>
            </w:pPr>
            <w:r w:rsidRPr="00EA1282">
              <w:t>whether dead or alive</w:t>
            </w:r>
          </w:p>
          <w:p w:rsidR="00000000" w:rsidRPr="00EA1282" w:rsidP="00EA1282">
            <w:pPr>
              <w:pStyle w:val="ListBullet"/>
            </w:pPr>
            <w:r w:rsidRPr="00EA1282">
              <w:t>inclusion of features for identification, such as flowers, fruit, roots and leaves</w:t>
            </w:r>
          </w:p>
          <w:p w:rsidR="00000000" w:rsidP="00EA1282">
            <w:pPr>
              <w:pStyle w:val="BodyText"/>
              <w:rPr>
                <w:lang w:val="en-NZ"/>
              </w:rPr>
            </w:pPr>
          </w:p>
        </w:tc>
      </w:tr>
      <w:tr w:rsidTr="006702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1282">
            <w:pPr>
              <w:pStyle w:val="BodyText"/>
              <w:rPr>
                <w:lang w:val="en-NZ"/>
              </w:rPr>
            </w:pPr>
            <w:r w:rsidRPr="00EA1282">
              <w:rPr>
                <w:rStyle w:val="SpecialBold"/>
              </w:rPr>
              <w:t xml:space="preserve">Data to be recorded </w:t>
            </w:r>
          </w:p>
        </w:tc>
        <w:tc>
          <w:tcPr>
            <w:tcW w:w="0" w:type="auto"/>
            <w:tcBorders>
              <w:top w:val="nil"/>
              <w:left w:val="nil"/>
              <w:bottom w:val="nil"/>
              <w:right w:val="nil"/>
            </w:tcBorders>
            <w:tcMar>
              <w:top w:w="0" w:type="dxa"/>
              <w:left w:w="62" w:type="dxa"/>
              <w:bottom w:w="0" w:type="dxa"/>
              <w:right w:w="62" w:type="dxa"/>
            </w:tcMar>
          </w:tcPr>
          <w:p w:rsidR="00000000" w:rsidRPr="00EA1282" w:rsidP="00EA1282">
            <w:pPr>
              <w:pStyle w:val="BodyText"/>
            </w:pPr>
            <w:r w:rsidRPr="00EA1282">
              <w:t>Data to be recorded includes, but is not limited to, one or more of:</w:t>
            </w:r>
          </w:p>
          <w:p w:rsidR="00000000" w:rsidRPr="00EA1282" w:rsidP="00EA1282">
            <w:pPr>
              <w:pStyle w:val="ListBullet"/>
            </w:pPr>
            <w:r w:rsidRPr="00EA1282">
              <w:t>collection information such as location, time, date, collector, behaviour, environment, depth, altitude, weather and habitat</w:t>
            </w:r>
          </w:p>
          <w:p w:rsidR="00000000" w:rsidRPr="00EA1282" w:rsidP="00EA1282">
            <w:pPr>
              <w:pStyle w:val="ListBullet"/>
            </w:pPr>
            <w:r w:rsidRPr="00EA1282">
              <w:t>reference photographs of the environment</w:t>
            </w:r>
            <w:r w:rsidRPr="00EA1282">
              <w:t xml:space="preserve"> in the field</w:t>
            </w:r>
          </w:p>
          <w:p w:rsidR="00000000" w:rsidRPr="00EA1282" w:rsidP="00EA1282">
            <w:pPr>
              <w:pStyle w:val="ListBullet"/>
            </w:pPr>
            <w:r w:rsidRPr="00EA1282">
              <w:t>reference drawings to characterise colour and shape</w:t>
            </w:r>
          </w:p>
          <w:p w:rsidR="00000000" w:rsidRPr="00EA1282" w:rsidP="00EA1282">
            <w:pPr>
              <w:pStyle w:val="ListBullet"/>
            </w:pPr>
            <w:r w:rsidRPr="00EA1282">
              <w:t>identification number, collection access number, collection database and catalogue details</w:t>
            </w:r>
          </w:p>
          <w:p w:rsidR="00000000" w:rsidRPr="00EA1282" w:rsidP="00EA1282">
            <w:pPr>
              <w:pStyle w:val="ListBullet"/>
            </w:pPr>
            <w:r w:rsidRPr="00EA1282">
              <w:t>characteristics of the specimen, such as:</w:t>
            </w:r>
          </w:p>
          <w:p w:rsidR="00000000" w:rsidRPr="00EA1282" w:rsidP="00EA1282">
            <w:pPr>
              <w:pStyle w:val="ListBullet2"/>
            </w:pPr>
            <w:r w:rsidRPr="00EA1282">
              <w:t>standard measurements (mass, length and size)</w:t>
            </w:r>
          </w:p>
          <w:p w:rsidR="00000000" w:rsidRPr="00EA1282" w:rsidP="00EA1282">
            <w:pPr>
              <w:pStyle w:val="ListBullet2"/>
            </w:pPr>
            <w:r w:rsidRPr="00EA1282">
              <w:t>plumage characteristics (age, pattern and colour)</w:t>
            </w:r>
          </w:p>
          <w:p w:rsidR="00000000" w:rsidRPr="00EA1282" w:rsidP="00EA1282">
            <w:pPr>
              <w:pStyle w:val="ListBullet2"/>
            </w:pPr>
            <w:r w:rsidRPr="00EA1282">
              <w:t>flesh characteristics (skin tone, naked flesh texture and internal organs)</w:t>
            </w:r>
          </w:p>
          <w:p w:rsidR="00000000" w:rsidRPr="00EA1282" w:rsidP="00EA1282">
            <w:pPr>
              <w:pStyle w:val="ListBullet2"/>
            </w:pPr>
            <w:r w:rsidRPr="00EA1282">
              <w:t>sex</w:t>
            </w:r>
          </w:p>
          <w:p w:rsidR="00000000" w:rsidRPr="00EA1282" w:rsidP="00EA1282">
            <w:pPr>
              <w:pStyle w:val="ListBullet"/>
            </w:pPr>
            <w:r w:rsidRPr="00EA1282">
              <w:t>X-rays and scans</w:t>
            </w:r>
          </w:p>
          <w:p w:rsidR="00000000" w:rsidRPr="00EA1282" w:rsidP="00EA1282">
            <w:pPr>
              <w:pStyle w:val="ListBullet"/>
            </w:pPr>
            <w:r w:rsidRPr="00EA1282">
              <w:t>manual or electronic data</w:t>
            </w:r>
          </w:p>
          <w:p w:rsidR="00000000" w:rsidP="00EA1282">
            <w:pPr>
              <w:pStyle w:val="BodyText"/>
              <w:rPr>
                <w:lang w:val="en-NZ"/>
              </w:rPr>
            </w:pPr>
          </w:p>
        </w:tc>
      </w:tr>
      <w:tr w:rsidTr="006702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1282">
            <w:pPr>
              <w:pStyle w:val="BodyText"/>
              <w:rPr>
                <w:lang w:val="en-NZ"/>
              </w:rPr>
            </w:pPr>
            <w:r w:rsidRPr="00EA1282">
              <w:rPr>
                <w:rStyle w:val="SpecialBold"/>
              </w:rPr>
              <w:t xml:space="preserve">Samples </w:t>
            </w:r>
          </w:p>
        </w:tc>
        <w:tc>
          <w:tcPr>
            <w:tcW w:w="0" w:type="auto"/>
            <w:tcBorders>
              <w:top w:val="nil"/>
              <w:left w:val="nil"/>
              <w:bottom w:val="nil"/>
              <w:right w:val="nil"/>
            </w:tcBorders>
            <w:tcMar>
              <w:top w:w="0" w:type="dxa"/>
              <w:left w:w="62" w:type="dxa"/>
              <w:bottom w:w="0" w:type="dxa"/>
              <w:right w:w="62" w:type="dxa"/>
            </w:tcMar>
          </w:tcPr>
          <w:p w:rsidR="00000000" w:rsidRPr="00EA1282" w:rsidP="00EA1282">
            <w:pPr>
              <w:pStyle w:val="BodyText"/>
            </w:pPr>
            <w:r w:rsidRPr="00EA1282">
              <w:t xml:space="preserve">Samples include, but are not limited to, one or more of: </w:t>
            </w:r>
          </w:p>
          <w:p w:rsidR="00000000" w:rsidRPr="00EA1282" w:rsidP="00EA1282">
            <w:pPr>
              <w:pStyle w:val="ListBullet"/>
            </w:pPr>
            <w:r w:rsidRPr="00EA1282">
              <w:t>DNA</w:t>
            </w:r>
          </w:p>
          <w:p w:rsidR="00000000" w:rsidRPr="00EA1282" w:rsidP="00EA1282">
            <w:pPr>
              <w:pStyle w:val="ListBullet"/>
            </w:pPr>
            <w:r w:rsidRPr="00EA1282">
              <w:t>tissue</w:t>
            </w:r>
          </w:p>
          <w:p w:rsidR="00000000" w:rsidRPr="00EA1282" w:rsidP="00EA1282">
            <w:pPr>
              <w:pStyle w:val="ListBullet"/>
            </w:pPr>
            <w:r w:rsidRPr="00EA1282">
              <w:t>bone fragments</w:t>
            </w:r>
          </w:p>
          <w:p w:rsidR="00000000" w:rsidRPr="00EA1282" w:rsidP="00EA1282">
            <w:pPr>
              <w:pStyle w:val="ListBullet"/>
            </w:pPr>
            <w:r w:rsidRPr="00EA1282">
              <w:t>stomach contents</w:t>
            </w:r>
          </w:p>
          <w:p w:rsidR="00000000" w:rsidP="00EA1282">
            <w:pPr>
              <w:pStyle w:val="ListBullet"/>
              <w:rPr>
                <w:lang w:val="en-NZ"/>
              </w:rPr>
            </w:pPr>
          </w:p>
        </w:tc>
      </w:tr>
      <w:tr w:rsidTr="006702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1282">
            <w:pPr>
              <w:pStyle w:val="BodyText"/>
              <w:rPr>
                <w:lang w:val="en-NZ"/>
              </w:rPr>
            </w:pPr>
            <w:r w:rsidRPr="00EA1282">
              <w:rPr>
                <w:rStyle w:val="SpecialBold"/>
              </w:rPr>
              <w:t xml:space="preserve">Preparation for preservation </w:t>
            </w:r>
          </w:p>
        </w:tc>
        <w:tc>
          <w:tcPr>
            <w:tcW w:w="0" w:type="auto"/>
            <w:tcBorders>
              <w:top w:val="nil"/>
              <w:left w:val="nil"/>
              <w:bottom w:val="nil"/>
              <w:right w:val="nil"/>
            </w:tcBorders>
            <w:tcMar>
              <w:top w:w="0" w:type="dxa"/>
              <w:left w:w="62" w:type="dxa"/>
              <w:bottom w:w="0" w:type="dxa"/>
              <w:right w:w="62" w:type="dxa"/>
            </w:tcMar>
          </w:tcPr>
          <w:p w:rsidR="00000000" w:rsidRPr="00EA1282" w:rsidP="00EA1282">
            <w:pPr>
              <w:pStyle w:val="BodyText"/>
            </w:pPr>
            <w:r w:rsidRPr="00EA1282">
              <w:t>Preparation for preservation includes, but is not limited to, one or more of:</w:t>
            </w:r>
          </w:p>
          <w:p w:rsidR="00000000" w:rsidRPr="00EA1282" w:rsidP="00EA1282">
            <w:pPr>
              <w:pStyle w:val="ListBullet"/>
            </w:pPr>
            <w:r w:rsidRPr="00EA1282">
              <w:t>treatment of the specimen (dissection, mounting, pinning, use of backing boards, fixing, staining, colour retenti</w:t>
            </w:r>
            <w:r w:rsidRPr="00EA1282">
              <w:t>on, latex injection and vascular preservation)</w:t>
            </w:r>
          </w:p>
          <w:p w:rsidR="00000000" w:rsidRPr="00EA1282" w:rsidP="00EA1282">
            <w:pPr>
              <w:pStyle w:val="ListBullet"/>
            </w:pPr>
            <w:r w:rsidRPr="00EA1282">
              <w:t>preparation of the display (painting, making of wet boxes, choice of vessel and storage fluid, planning of mould sections and lay up)</w:t>
            </w:r>
          </w:p>
          <w:p w:rsidR="00000000" w:rsidRPr="00EA1282" w:rsidP="00EA1282">
            <w:pPr>
              <w:pStyle w:val="ListBullet"/>
            </w:pPr>
            <w:r w:rsidRPr="00EA1282">
              <w:t>maceration of tissue from skeletons by sand, invertebrates, cold or warm wa</w:t>
            </w:r>
            <w:r w:rsidRPr="00EA1282">
              <w:t>ter, enzymes, physical removal or chemical treatment</w:t>
            </w:r>
          </w:p>
          <w:p w:rsidR="00000000" w:rsidP="00EA1282">
            <w:pPr>
              <w:pStyle w:val="BodyText"/>
              <w:rPr>
                <w:lang w:val="en-NZ"/>
              </w:rPr>
            </w:pPr>
          </w:p>
        </w:tc>
      </w:tr>
      <w:tr w:rsidTr="006702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1282">
            <w:pPr>
              <w:pStyle w:val="BodyText"/>
              <w:rPr>
                <w:lang w:val="en-NZ"/>
              </w:rPr>
            </w:pPr>
            <w:r w:rsidRPr="00EA1282">
              <w:rPr>
                <w:rStyle w:val="SpecialBold"/>
              </w:rPr>
              <w:t xml:space="preserve">Preservation </w:t>
            </w:r>
          </w:p>
        </w:tc>
        <w:tc>
          <w:tcPr>
            <w:tcW w:w="0" w:type="auto"/>
            <w:tcBorders>
              <w:top w:val="nil"/>
              <w:left w:val="nil"/>
              <w:bottom w:val="nil"/>
              <w:right w:val="nil"/>
            </w:tcBorders>
            <w:tcMar>
              <w:top w:w="0" w:type="dxa"/>
              <w:left w:w="62" w:type="dxa"/>
              <w:bottom w:w="0" w:type="dxa"/>
              <w:right w:w="62" w:type="dxa"/>
            </w:tcMar>
          </w:tcPr>
          <w:p w:rsidR="00000000" w:rsidRPr="00EA1282" w:rsidP="00EA1282">
            <w:pPr>
              <w:pStyle w:val="BodyText"/>
            </w:pPr>
            <w:r w:rsidRPr="00EA1282">
              <w:t>Preservation includes, but is not limited to, one or more of:</w:t>
            </w:r>
          </w:p>
          <w:p w:rsidR="00000000" w:rsidRPr="00EA1282" w:rsidP="00EA1282">
            <w:pPr>
              <w:pStyle w:val="ListBullet"/>
            </w:pPr>
            <w:r w:rsidRPr="00EA1282">
              <w:t>temporary (freezing)</w:t>
            </w:r>
          </w:p>
          <w:p w:rsidR="00000000" w:rsidRPr="00EA1282" w:rsidP="00EA1282">
            <w:pPr>
              <w:pStyle w:val="ListBullet"/>
            </w:pPr>
            <w:r w:rsidRPr="00EA1282">
              <w:t>wet (whole mounts in formalin and tissue staining)</w:t>
            </w:r>
          </w:p>
          <w:p w:rsidR="00000000" w:rsidRPr="00EA1282" w:rsidP="00EA1282">
            <w:pPr>
              <w:pStyle w:val="ListBullet"/>
            </w:pPr>
            <w:r w:rsidRPr="00EA1282">
              <w:t>dry (freeze and air drying), pressing, taxidermy, including exhibition quality mounts, study skins, tanning and plastination techniques, such as dry mounting of seeds, bird skins, pin mounted invertebrates and pressing of plants</w:t>
            </w:r>
          </w:p>
          <w:p w:rsidR="00000000" w:rsidRPr="00EA1282" w:rsidP="00EA1282">
            <w:pPr>
              <w:pStyle w:val="ListBullet"/>
            </w:pPr>
            <w:r w:rsidRPr="00EA1282">
              <w:t>skeletal involving macerati</w:t>
            </w:r>
            <w:r w:rsidRPr="00EA1282">
              <w:t>on, degreasing, bleaching, articulation and mounting or sectioning (e.g. whale skeletons)</w:t>
            </w:r>
          </w:p>
          <w:p w:rsidR="00000000" w:rsidRPr="00EA1282" w:rsidP="00EA1282">
            <w:pPr>
              <w:pStyle w:val="ListBullet"/>
            </w:pPr>
            <w:r w:rsidRPr="00EA1282">
              <w:t>mould and cast (alignate, plaster, stone plaster, polyester, latex, silicone, Vinamould, gelatine, urethane elastomers, glass and carbon fibre), such as for fish, amp</w:t>
            </w:r>
            <w:r w:rsidRPr="00EA1282">
              <w:t>hibians and reptiles</w:t>
            </w:r>
          </w:p>
          <w:p w:rsidR="00000000" w:rsidRPr="00EA1282" w:rsidP="00EA1282">
            <w:pPr>
              <w:pStyle w:val="ListBullet"/>
            </w:pPr>
            <w:r w:rsidRPr="00EA1282">
              <w:t>embedding by encapsulation in clear plastic or resin using wet or dry techniques</w:t>
            </w:r>
          </w:p>
          <w:p w:rsidR="00000000" w:rsidP="00EA1282">
            <w:pPr>
              <w:pStyle w:val="BodyText"/>
              <w:rPr>
                <w:lang w:val="en-NZ"/>
              </w:rPr>
            </w:pPr>
          </w:p>
        </w:tc>
      </w:tr>
      <w:tr w:rsidTr="006702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1282">
            <w:pPr>
              <w:pStyle w:val="BodyText"/>
              <w:rPr>
                <w:lang w:val="en-NZ"/>
              </w:rPr>
            </w:pPr>
            <w:r w:rsidRPr="00EA1282">
              <w:rPr>
                <w:rStyle w:val="SpecialBold"/>
              </w:rPr>
              <w:t xml:space="preserve">Detailing of specimens </w:t>
            </w:r>
          </w:p>
        </w:tc>
        <w:tc>
          <w:tcPr>
            <w:tcW w:w="0" w:type="auto"/>
            <w:tcBorders>
              <w:top w:val="nil"/>
              <w:left w:val="nil"/>
              <w:bottom w:val="nil"/>
              <w:right w:val="nil"/>
            </w:tcBorders>
            <w:tcMar>
              <w:top w:w="0" w:type="dxa"/>
              <w:left w:w="62" w:type="dxa"/>
              <w:bottom w:w="0" w:type="dxa"/>
              <w:right w:w="62" w:type="dxa"/>
            </w:tcMar>
          </w:tcPr>
          <w:p w:rsidR="00000000" w:rsidRPr="00EA1282" w:rsidP="00EA1282">
            <w:pPr>
              <w:pStyle w:val="BodyText"/>
            </w:pPr>
            <w:r w:rsidRPr="00EA1282">
              <w:t xml:space="preserve">Detailing of specimens includes, but is not limited to, one or more of: </w:t>
            </w:r>
          </w:p>
          <w:p w:rsidR="00000000" w:rsidRPr="00EA1282" w:rsidP="00EA1282">
            <w:pPr>
              <w:pStyle w:val="ListBullet"/>
            </w:pPr>
            <w:r w:rsidRPr="00EA1282">
              <w:t>cleaning</w:t>
            </w:r>
          </w:p>
          <w:p w:rsidR="00000000" w:rsidRPr="00EA1282" w:rsidP="00EA1282">
            <w:pPr>
              <w:pStyle w:val="ListBullet"/>
            </w:pPr>
            <w:r w:rsidRPr="00EA1282">
              <w:t>touch up</w:t>
            </w:r>
          </w:p>
          <w:p w:rsidR="00000000" w:rsidRPr="00EA1282" w:rsidP="00EA1282">
            <w:pPr>
              <w:pStyle w:val="ListBullet"/>
            </w:pPr>
            <w:r w:rsidRPr="00EA1282">
              <w:t>addition of false eyes</w:t>
            </w:r>
          </w:p>
          <w:p w:rsidR="00000000" w:rsidP="00EA1282">
            <w:pPr>
              <w:pStyle w:val="BodyText"/>
              <w:rPr>
                <w:lang w:val="en-NZ"/>
              </w:rPr>
            </w:pPr>
          </w:p>
        </w:tc>
      </w:tr>
      <w:tr w:rsidTr="006702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1282">
            <w:pPr>
              <w:pStyle w:val="BodyText"/>
              <w:rPr>
                <w:lang w:val="en-NZ"/>
              </w:rPr>
            </w:pPr>
            <w:r w:rsidRPr="00EA1282">
              <w:rPr>
                <w:rStyle w:val="SpecialBold"/>
              </w:rPr>
              <w:t xml:space="preserve">Conservation </w:t>
            </w:r>
          </w:p>
        </w:tc>
        <w:tc>
          <w:tcPr>
            <w:tcW w:w="0" w:type="auto"/>
            <w:tcBorders>
              <w:top w:val="nil"/>
              <w:left w:val="nil"/>
              <w:bottom w:val="nil"/>
              <w:right w:val="nil"/>
            </w:tcBorders>
            <w:tcMar>
              <w:top w:w="0" w:type="dxa"/>
              <w:left w:w="62" w:type="dxa"/>
              <w:bottom w:w="0" w:type="dxa"/>
              <w:right w:w="62" w:type="dxa"/>
            </w:tcMar>
          </w:tcPr>
          <w:p w:rsidR="00000000" w:rsidRPr="00EA1282" w:rsidP="00EA1282">
            <w:pPr>
              <w:pStyle w:val="BodyText"/>
            </w:pPr>
            <w:r w:rsidRPr="00EA1282">
              <w:t>Conservation involves:</w:t>
            </w:r>
          </w:p>
          <w:p w:rsidR="00000000" w:rsidRPr="00EA1282" w:rsidP="00EA1282">
            <w:pPr>
              <w:pStyle w:val="ListBullet"/>
            </w:pPr>
            <w:r w:rsidRPr="00EA1282">
              <w:t>minimisation of deterioration which can be caused by pests, light and/or humidity</w:t>
            </w:r>
          </w:p>
          <w:p w:rsidR="00000000" w:rsidP="00EA1282">
            <w:pPr>
              <w:pStyle w:val="BodyText"/>
              <w:rPr>
                <w:lang w:val="en-NZ"/>
              </w:rPr>
            </w:pPr>
          </w:p>
        </w:tc>
      </w:tr>
      <w:tr w:rsidTr="006702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1282">
            <w:pPr>
              <w:pStyle w:val="BodyText"/>
              <w:rPr>
                <w:lang w:val="en-NZ"/>
              </w:rPr>
            </w:pPr>
            <w:r w:rsidRPr="00EA1282">
              <w:rPr>
                <w:rStyle w:val="SpecialBold"/>
              </w:rPr>
              <w:t xml:space="preserve">Workplace safety procedures </w:t>
            </w:r>
          </w:p>
        </w:tc>
        <w:tc>
          <w:tcPr>
            <w:tcW w:w="0" w:type="auto"/>
            <w:tcBorders>
              <w:top w:val="nil"/>
              <w:left w:val="nil"/>
              <w:bottom w:val="nil"/>
              <w:right w:val="nil"/>
            </w:tcBorders>
            <w:tcMar>
              <w:top w:w="0" w:type="dxa"/>
              <w:left w:w="62" w:type="dxa"/>
              <w:bottom w:w="0" w:type="dxa"/>
              <w:right w:w="62" w:type="dxa"/>
            </w:tcMar>
          </w:tcPr>
          <w:p w:rsidR="00000000" w:rsidRPr="00EA1282" w:rsidP="00EA1282">
            <w:pPr>
              <w:pStyle w:val="BodyText"/>
            </w:pPr>
            <w:r w:rsidRPr="00EA1282">
              <w:t>Workplace safety procedures include, but are not limited to, one or more of:</w:t>
            </w:r>
          </w:p>
          <w:p w:rsidR="00000000" w:rsidRPr="00EA1282" w:rsidP="00EA1282">
            <w:pPr>
              <w:pStyle w:val="ListBullet"/>
            </w:pPr>
            <w:r w:rsidRPr="00EA1282">
              <w:t xml:space="preserve">ensuring access to service </w:t>
            </w:r>
            <w:r w:rsidRPr="00EA1282">
              <w:t>shut-off points</w:t>
            </w:r>
          </w:p>
          <w:p w:rsidR="00000000" w:rsidRPr="00EA1282" w:rsidP="00EA1282">
            <w:pPr>
              <w:pStyle w:val="ListBullet"/>
            </w:pPr>
            <w:r w:rsidRPr="00EA1282">
              <w:t>recognising and observing hazard warnings and safety signs</w:t>
            </w:r>
          </w:p>
          <w:p w:rsidR="00000000" w:rsidRPr="00EA1282" w:rsidP="00EA1282">
            <w:pPr>
              <w:pStyle w:val="ListBullet"/>
            </w:pPr>
            <w:r w:rsidRPr="00EA1282">
              <w:t>using material safety data sheets (MSDS)</w:t>
            </w:r>
          </w:p>
          <w:p w:rsidR="00000000" w:rsidRPr="00EA1282" w:rsidP="00EA1282">
            <w:pPr>
              <w:pStyle w:val="ListBullet"/>
            </w:pPr>
            <w:r w:rsidRPr="00EA1282">
              <w:t>labelling of samples, reagents, aliquoted samples and hazardous materials</w:t>
            </w:r>
          </w:p>
          <w:p w:rsidR="00000000" w:rsidRPr="00EA1282" w:rsidP="00EA1282">
            <w:pPr>
              <w:pStyle w:val="ListBullet"/>
            </w:pPr>
            <w:r w:rsidRPr="00EA1282">
              <w:t xml:space="preserve">handling and storage </w:t>
            </w:r>
            <w:r w:rsidRPr="00EA1282">
              <w:t xml:space="preserve">of all hazardous materials and equipment in accordance </w:t>
            </w:r>
            <w:r w:rsidRPr="00EA1282">
              <w:t>with labelling, MSDS and manufacturer instructions</w:t>
            </w:r>
          </w:p>
          <w:p w:rsidR="00000000" w:rsidRPr="00EA1282" w:rsidP="00EA1282">
            <w:pPr>
              <w:pStyle w:val="ListBullet"/>
            </w:pPr>
            <w:r w:rsidRPr="00EA1282">
              <w:t>identifying and reporting operating problems or equipment malfunctions</w:t>
            </w:r>
          </w:p>
          <w:p w:rsidR="00000000" w:rsidRPr="00EA1282" w:rsidP="00EA1282">
            <w:pPr>
              <w:pStyle w:val="ListBullet"/>
            </w:pPr>
            <w:r w:rsidRPr="00EA1282">
              <w:t>cleaning and decontaminating equipment and work areas regularly using recommend</w:t>
            </w:r>
            <w:r w:rsidRPr="00EA1282">
              <w:t>ed procedures</w:t>
            </w:r>
          </w:p>
          <w:p w:rsidR="00000000" w:rsidRPr="00EA1282" w:rsidP="00EA1282">
            <w:pPr>
              <w:pStyle w:val="ListBullet"/>
            </w:pPr>
            <w:r w:rsidRPr="00EA1282">
              <w:t>using PPE, such as hearing protection, sunscreen lotion, gloves, safety glasses, face guards, coveralls, gowns and safety boots</w:t>
            </w:r>
          </w:p>
          <w:p w:rsidR="00000000" w:rsidRPr="00EA1282" w:rsidP="00EA1282">
            <w:pPr>
              <w:pStyle w:val="ListBullet"/>
            </w:pPr>
            <w:r w:rsidRPr="00EA1282">
              <w:t>reporting abnormal emissions, discharges and airborne contaminants, such as noise, light, solids, liquids, water/w</w:t>
            </w:r>
            <w:r w:rsidRPr="00EA1282">
              <w:t>astewater, gases, smoke, vapour, fumes, odour and particulates, to appropriate personnel</w:t>
            </w:r>
          </w:p>
          <w:p w:rsidR="00000000" w:rsidRPr="00EA1282" w:rsidP="00EA1282">
            <w:pPr>
              <w:pStyle w:val="ListBullet"/>
            </w:pPr>
            <w:r w:rsidRPr="00EA1282">
              <w:t>following established procedures for handling animals</w:t>
            </w:r>
          </w:p>
          <w:p w:rsidR="00000000" w:rsidP="00EA1282">
            <w:pPr>
              <w:pStyle w:val="BodyText"/>
              <w:rPr>
                <w:lang w:val="en-NZ"/>
              </w:rPr>
            </w:pPr>
          </w:p>
        </w:tc>
      </w:tr>
      <w:tr w:rsidTr="006702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A1282">
            <w:pPr>
              <w:pStyle w:val="BodyText"/>
              <w:rPr>
                <w:lang w:val="en-NZ"/>
              </w:rPr>
            </w:pPr>
            <w:r w:rsidRPr="00EA1282">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EA1282" w:rsidP="00EA1282">
            <w:pPr>
              <w:pStyle w:val="BodyText"/>
            </w:pPr>
            <w:r w:rsidRPr="00EA1282">
              <w:t>WHS and environmental management requirements include:</w:t>
            </w:r>
          </w:p>
          <w:p w:rsidR="00000000" w:rsidRPr="00EA1282" w:rsidP="00EA1282">
            <w:pPr>
              <w:pStyle w:val="BodyText"/>
            </w:pPr>
            <w:r w:rsidRPr="00EA1282">
              <w:rPr>
                <w:rStyle w:val="Symbols"/>
              </w:rPr>
              <w:t></w:t>
            </w:r>
            <w:r w:rsidRPr="00EA1282">
              <w:rPr>
                <w:rStyle w:val="Symbols"/>
              </w:rPr>
              <w:tab/>
            </w:r>
            <w:r w:rsidRPr="00EA1282">
              <w:t>complying with WHS and environmental management requirements at all times, which may be imposed through state/territory or federal legislation. These requirements must not be compromised at any time</w:t>
            </w:r>
          </w:p>
          <w:p w:rsidR="00000000" w:rsidRPr="00EA1282" w:rsidP="00EA1282">
            <w:pPr>
              <w:pStyle w:val="BodyText"/>
            </w:pPr>
            <w:r w:rsidRPr="00EA1282">
              <w:rPr>
                <w:rStyle w:val="Symbols"/>
              </w:rPr>
              <w:t></w:t>
            </w:r>
            <w:r w:rsidRPr="00EA1282">
              <w:rPr>
                <w:rStyle w:val="Symbols"/>
              </w:rPr>
              <w:tab/>
            </w:r>
            <w:r w:rsidRPr="00EA1282">
              <w:t>applying standard precautions relating to the potential</w:t>
            </w:r>
            <w:r w:rsidRPr="00EA1282">
              <w:t>ly hazardous nature of samples</w:t>
            </w:r>
          </w:p>
          <w:p w:rsidR="00000000" w:rsidRPr="00EA1282" w:rsidP="00EA1282">
            <w:pPr>
              <w:pStyle w:val="ListBullet"/>
            </w:pPr>
            <w:r w:rsidRPr="00EA1282">
              <w:t>accessing and applying current industry understanding of infection control issued by the National Health and Medical Research Council (NHMRC) and State and Territory Departments of Health, where relevant</w:t>
            </w:r>
          </w:p>
        </w:tc>
      </w:tr>
    </w:tbl>
    <w:p w:rsidR="00000000" w:rsidRPr="00EA1282" w:rsidP="00EA1282">
      <w:pPr>
        <w:pStyle w:val="BodyText"/>
      </w:pPr>
    </w:p>
    <w:p w:rsidR="00000000" w:rsidRPr="00EA1282" w:rsidP="00EA1282">
      <w:pPr>
        <w:pStyle w:val="AllowPageBreak"/>
      </w:pPr>
    </w:p>
    <w:p w:rsidR="00000000" w:rsidRPr="00EA1282" w:rsidP="00EA1282">
      <w:pPr>
        <w:pStyle w:val="Heading1"/>
      </w:pPr>
      <w:bookmarkStart w:id="9" w:name="O_901820"/>
      <w:bookmarkEnd w:id="9"/>
      <w:r w:rsidRPr="00EA1282">
        <w:t>Unit Mapping Information</w:t>
      </w:r>
    </w:p>
    <w:p w:rsidR="00000000" w:rsidRPr="00EA1282" w:rsidP="00670248">
      <w:pPr>
        <w:pStyle w:val="BodyText"/>
      </w:pPr>
      <w:r w:rsidRPr="00EA1282">
        <w:t>Release 1. Supersedes and is equivalent to MSL975015A Prepare animal and plant material for display</w:t>
      </w:r>
    </w:p>
    <w:p w:rsidR="00000000" w:rsidRPr="00EA1282" w:rsidP="00EA1282">
      <w:pPr>
        <w:pStyle w:val="Heading1"/>
      </w:pPr>
      <w:bookmarkStart w:id="10" w:name="O_901813"/>
      <w:bookmarkEnd w:id="10"/>
      <w:r w:rsidRPr="00EA1282">
        <w:t>Links</w:t>
      </w:r>
    </w:p>
    <w:p w:rsidR="00000000" w:rsidRPr="00EA1282" w:rsidP="00670248">
      <w:pPr>
        <w:pStyle w:val="BodyText"/>
      </w:pPr>
      <w:r w:rsidRPr="00EA1282">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104D51">
        <w:rPr>
          <w:rStyle w:val="Hyperlink"/>
        </w:rPr>
        <w:t>https://vetnet.gov.au/Pages/TrainingDocs.aspx?q=5c63a03b-4a6b-4ae5-9560-1e3c5f462baa</w:t>
      </w:r>
      <w:r>
        <w:fldChar w:fldCharType="end"/>
      </w:r>
    </w:p>
    <w:p w:rsidR="00000000" w:rsidRPr="00EA1282" w:rsidP="00670248">
      <w:pPr>
        <w:pStyle w:val="BodyText"/>
        <w:sectPr w:rsidSect="00EA1282">
          <w:headerReference w:type="default" r:id="rId10"/>
          <w:footerReference w:type="default" r:id="rId11"/>
          <w:pgSz w:w="11908" w:h="16833"/>
          <w:pgMar w:top="1702" w:right="1418" w:bottom="1702" w:left="1418" w:header="992" w:footer="992" w:gutter="0"/>
          <w:cols w:space="720"/>
          <w:noEndnote/>
          <w:docGrid w:linePitch="299"/>
        </w:sectPr>
      </w:pPr>
    </w:p>
    <w:p w:rsidR="00000000" w:rsidRPr="00EA1282" w:rsidP="00EA1282">
      <w:pPr>
        <w:pStyle w:val="SuperHeading"/>
      </w:pPr>
      <w:r w:rsidRPr="00EA1282">
        <w:t>Assessment Requirements for MSL975015 Prepare animal and plant material for display</w:t>
      </w:r>
    </w:p>
    <w:p w:rsidR="00000000" w:rsidRPr="00EA1282" w:rsidP="00EA1282">
      <w:pPr>
        <w:pStyle w:val="Heading1"/>
      </w:pPr>
      <w:bookmarkStart w:id="11" w:name="O_901815"/>
      <w:bookmarkEnd w:id="11"/>
      <w:r w:rsidRPr="00EA1282">
        <w:t>Modification History</w:t>
      </w:r>
    </w:p>
    <w:p w:rsidR="00000000" w:rsidRPr="00EA1282" w:rsidP="00670248">
      <w:pPr>
        <w:pStyle w:val="BodyText"/>
      </w:pPr>
      <w:r w:rsidRPr="00EA1282">
        <w:t>Release 1. Supersedes and is equivalent to MSL975015A Prepare animal and plant material for display</w:t>
      </w:r>
    </w:p>
    <w:p w:rsidR="00000000" w:rsidRPr="00EA1282" w:rsidP="00EA1282">
      <w:pPr>
        <w:pStyle w:val="Heading1"/>
      </w:pPr>
      <w:bookmarkStart w:id="12" w:name="O_901818"/>
      <w:bookmarkEnd w:id="12"/>
      <w:r w:rsidRPr="00EA1282">
        <w:t>Performance Evidence</w:t>
      </w:r>
    </w:p>
    <w:p w:rsidR="00000000" w:rsidRPr="00EA1282" w:rsidP="00670248">
      <w:pPr>
        <w:pStyle w:val="BodyText"/>
      </w:pPr>
      <w:r w:rsidRPr="00EA1282">
        <w:t>Evidence of competence in this unit must satisfy all of the requirements of the elements and performance criteria, and</w:t>
      </w:r>
      <w:r w:rsidRPr="00EA1282">
        <w:t xml:space="preserve"> include demonstration of:</w:t>
      </w:r>
    </w:p>
    <w:p w:rsidR="00000000" w:rsidRPr="00EA1282" w:rsidP="00EA1282">
      <w:pPr>
        <w:pStyle w:val="ListBullet"/>
      </w:pPr>
      <w:r w:rsidRPr="00EA1282">
        <w:t>safely collecting and preserving five (5) different examples of animal and plant material for display</w:t>
      </w:r>
    </w:p>
    <w:p w:rsidR="00000000" w:rsidRPr="00EA1282" w:rsidP="00EA1282">
      <w:pPr>
        <w:pStyle w:val="ListBullet"/>
      </w:pPr>
      <w:r w:rsidRPr="00EA1282">
        <w:t>assisting clients to clarify their display requirements</w:t>
      </w:r>
    </w:p>
    <w:p w:rsidR="00000000" w:rsidRPr="00EA1282" w:rsidP="00EA1282">
      <w:pPr>
        <w:pStyle w:val="ListBullet"/>
      </w:pPr>
      <w:r w:rsidRPr="00EA1282">
        <w:t xml:space="preserve">selecting appropriate collection, preservation and display techniques </w:t>
      </w:r>
      <w:r w:rsidRPr="00EA1282">
        <w:t>to suit particular display requirements</w:t>
      </w:r>
    </w:p>
    <w:p w:rsidR="00000000" w:rsidRPr="00EA1282" w:rsidP="00EA1282">
      <w:pPr>
        <w:pStyle w:val="ListBullet"/>
      </w:pPr>
      <w:r w:rsidRPr="00EA1282">
        <w:t>recognising, identifying and collecting suitable animal and plant specimens</w:t>
      </w:r>
    </w:p>
    <w:p w:rsidR="00000000" w:rsidRPr="00EA1282" w:rsidP="00EA1282">
      <w:pPr>
        <w:pStyle w:val="ListBullet"/>
      </w:pPr>
      <w:r w:rsidRPr="00EA1282">
        <w:t>storing and transporting specimens safely while maintaining their wellbeing, viability and/or integrity, as appropriate</w:t>
      </w:r>
    </w:p>
    <w:p w:rsidR="00000000" w:rsidRPr="00EA1282" w:rsidP="00EA1282">
      <w:pPr>
        <w:pStyle w:val="ListBullet"/>
      </w:pPr>
      <w:r w:rsidRPr="00EA1282">
        <w:t>preserving and prepa</w:t>
      </w:r>
      <w:r w:rsidRPr="00EA1282">
        <w:t>ring animal and plant specimens for a range of display purposes</w:t>
      </w:r>
    </w:p>
    <w:p w:rsidR="00000000" w:rsidRPr="00EA1282" w:rsidP="00EA1282">
      <w:pPr>
        <w:pStyle w:val="ListBullet"/>
      </w:pPr>
      <w:r w:rsidRPr="00EA1282">
        <w:t>assembling and conserving the display items</w:t>
      </w:r>
    </w:p>
    <w:p w:rsidR="00000000" w:rsidRPr="00EA1282" w:rsidP="00EA1282">
      <w:pPr>
        <w:pStyle w:val="ListBullet"/>
      </w:pPr>
      <w:r w:rsidRPr="00EA1282">
        <w:t xml:space="preserve">preparing displays that meet client and security requirements </w:t>
      </w:r>
    </w:p>
    <w:p w:rsidR="00000000" w:rsidRPr="00EA1282" w:rsidP="00EA1282">
      <w:pPr>
        <w:pStyle w:val="ListBullet"/>
      </w:pPr>
      <w:r w:rsidRPr="00EA1282">
        <w:t>complying with all legislative, regulatory and workplace requirements</w:t>
      </w:r>
    </w:p>
    <w:p w:rsidR="00000000" w:rsidRPr="00EA1282" w:rsidP="00EA1282">
      <w:pPr>
        <w:pStyle w:val="ListBullet"/>
      </w:pPr>
      <w:r w:rsidRPr="00EA1282">
        <w:t>keeping records</w:t>
      </w:r>
      <w:r w:rsidRPr="00EA1282">
        <w:t xml:space="preserve"> to provide chain of custody of specimens and samples through collection, storage, preservation and display</w:t>
      </w:r>
    </w:p>
    <w:p w:rsidR="00000000" w:rsidRPr="00EA1282" w:rsidP="00EA1282">
      <w:pPr>
        <w:pStyle w:val="ListBullet"/>
      </w:pPr>
      <w:r w:rsidRPr="00EA1282">
        <w:t>following workplace safety procedures.</w:t>
      </w:r>
    </w:p>
    <w:p w:rsidR="00000000" w:rsidRPr="00EA1282" w:rsidP="00EA1282">
      <w:pPr>
        <w:pStyle w:val="AllowPageBreak"/>
      </w:pPr>
    </w:p>
    <w:p w:rsidR="00000000" w:rsidRPr="00EA1282" w:rsidP="00EA1282">
      <w:pPr>
        <w:pStyle w:val="Heading1"/>
      </w:pPr>
      <w:bookmarkStart w:id="13" w:name="O_901817"/>
      <w:bookmarkEnd w:id="13"/>
      <w:r w:rsidRPr="00EA1282">
        <w:t>Knowledge Evidence</w:t>
      </w:r>
    </w:p>
    <w:p w:rsidR="00000000" w:rsidRPr="00EA1282" w:rsidP="00670248">
      <w:pPr>
        <w:pStyle w:val="BodyText"/>
      </w:pPr>
      <w:r w:rsidRPr="00EA1282">
        <w:t>Must provide evidence that demonstrates knowledge of:</w:t>
      </w:r>
    </w:p>
    <w:p w:rsidR="00000000" w:rsidRPr="00EA1282" w:rsidP="00EA1282">
      <w:pPr>
        <w:pStyle w:val="ListBullet"/>
      </w:pPr>
      <w:r w:rsidRPr="00EA1282">
        <w:t>classification/tax</w:t>
      </w:r>
      <w:r w:rsidRPr="00EA1282">
        <w:t>onomy/flora and fauna recognition and identification methods</w:t>
      </w:r>
    </w:p>
    <w:p w:rsidR="00000000" w:rsidRPr="00EA1282" w:rsidP="00EA1282">
      <w:pPr>
        <w:pStyle w:val="ListBullet"/>
      </w:pPr>
      <w:r w:rsidRPr="00EA1282">
        <w:t>legislative limitations on collection of flora and fauna</w:t>
      </w:r>
    </w:p>
    <w:p w:rsidR="00000000" w:rsidRPr="00EA1282" w:rsidP="00EA1282">
      <w:pPr>
        <w:pStyle w:val="ListBullet"/>
      </w:pPr>
      <w:r w:rsidRPr="00EA1282">
        <w:t>specimen preparation methods relevant to job role, such as fixation and preservation techniques, and preparation of skeletal material</w:t>
      </w:r>
    </w:p>
    <w:p w:rsidR="00000000" w:rsidRPr="00EA1282" w:rsidP="00EA1282">
      <w:pPr>
        <w:pStyle w:val="ListBullet"/>
      </w:pPr>
      <w:r w:rsidRPr="00EA1282">
        <w:t>workplace processes and procedures for creation of displays relevant to job role</w:t>
      </w:r>
    </w:p>
    <w:p w:rsidR="00000000" w:rsidRPr="00EA1282" w:rsidP="00EA1282">
      <w:pPr>
        <w:pStyle w:val="ListBullet"/>
      </w:pPr>
      <w:r w:rsidRPr="00EA1282">
        <w:t>relevant hazards, work health and safety (WHS) and environment requirements.</w:t>
      </w:r>
    </w:p>
    <w:p w:rsidR="00000000" w:rsidRPr="00EA1282" w:rsidP="00EA1282">
      <w:pPr>
        <w:pStyle w:val="AllowPageBreak"/>
      </w:pPr>
    </w:p>
    <w:p w:rsidR="00000000" w:rsidRPr="00EA1282" w:rsidP="00EA1282">
      <w:pPr>
        <w:pStyle w:val="Heading1"/>
      </w:pPr>
      <w:bookmarkStart w:id="14" w:name="O_901816"/>
      <w:bookmarkEnd w:id="14"/>
      <w:r w:rsidRPr="00EA1282">
        <w:t>Assessment Conditions</w:t>
      </w:r>
    </w:p>
    <w:p w:rsidR="00000000" w:rsidRPr="00EA1282" w:rsidP="00EA1282">
      <w:pPr>
        <w:pStyle w:val="ListBullet"/>
      </w:pPr>
      <w:r w:rsidRPr="00EA1282">
        <w:t>Judgment of competence must be based on holistic assessmen</w:t>
      </w:r>
      <w:r w:rsidRPr="00EA1282">
        <w:t xml:space="preserve">t of the evidence. Assessment methods must confirm consistency of performance over time, rather than a single assessment event. </w:t>
      </w:r>
    </w:p>
    <w:p w:rsidR="00000000" w:rsidRPr="00EA1282" w:rsidP="00EA1282">
      <w:pPr>
        <w:pStyle w:val="ListBullet"/>
      </w:pPr>
      <w:r w:rsidRPr="00EA1282">
        <w:t>This unit of competency is to be assessed in the workplace or a simulated workplace environment. A simulated workplace environm</w:t>
      </w:r>
      <w:r w:rsidRPr="00EA1282">
        <w:t xml:space="preserve">ent must reflect realistic operational workplace conditions that cover all aspects of workplace performance, including the environment, task skills, task management skills, contingency management skills and job role environment skills.  </w:t>
      </w:r>
    </w:p>
    <w:p w:rsidR="00000000" w:rsidRPr="00EA1282" w:rsidP="00EA1282">
      <w:pPr>
        <w:pStyle w:val="ListBullet"/>
      </w:pPr>
      <w:r w:rsidRPr="00EA1282">
        <w:t xml:space="preserve">Foundation skills </w:t>
      </w:r>
      <w:r w:rsidRPr="00EA1282">
        <w:t xml:space="preserve">are integral to competent performance of the unit and should not be assessed separately. </w:t>
      </w:r>
    </w:p>
    <w:p w:rsidR="00000000" w:rsidRPr="00EA1282" w:rsidP="00EA1282">
      <w:pPr>
        <w:pStyle w:val="ListBullet"/>
      </w:pPr>
      <w:r w:rsidRPr="00EA1282">
        <w:t>Assessment processes and techniques must be appropriate to the language, literacy and numeracy requirements of the work being performed and the needs of the candidate</w:t>
      </w:r>
      <w:r w:rsidRPr="00EA1282">
        <w:t>.</w:t>
      </w:r>
    </w:p>
    <w:p w:rsidR="00000000" w:rsidRPr="00EA1282" w:rsidP="00EA1282">
      <w:pPr>
        <w:pStyle w:val="ListBullet"/>
      </w:pPr>
      <w:r w:rsidRPr="00EA1282">
        <w:t>Knowledge evidence may be collected concurrently with performance evidence or through an independent process, such as workbooks, written assessments or interviews (provided a record is kept in each case).</w:t>
      </w:r>
    </w:p>
    <w:p w:rsidR="00000000" w:rsidRPr="00EA1282" w:rsidP="00EA1282">
      <w:pPr>
        <w:pStyle w:val="ListBullet"/>
      </w:pPr>
      <w:r w:rsidRPr="00EA1282">
        <w:t xml:space="preserve">This unit of competency may be assessed with: </w:t>
      </w:r>
    </w:p>
    <w:p w:rsidR="00000000" w:rsidRPr="00EA1282" w:rsidP="00EA1282">
      <w:pPr>
        <w:pStyle w:val="ListBullet2"/>
      </w:pPr>
      <w:r w:rsidRPr="00EA1282">
        <w:t>M</w:t>
      </w:r>
      <w:r w:rsidRPr="00EA1282">
        <w:t>SL975017 Perform laboratory-based ecological techniques</w:t>
      </w:r>
    </w:p>
    <w:p w:rsidR="00000000" w:rsidRPr="00EA1282" w:rsidP="00EA1282">
      <w:pPr>
        <w:pStyle w:val="ListBullet"/>
      </w:pPr>
      <w:r w:rsidRPr="00EA1282">
        <w:t>Holistic assessment methods include:</w:t>
      </w:r>
    </w:p>
    <w:p w:rsidR="00000000" w:rsidRPr="00EA1282" w:rsidP="00EA1282">
      <w:pPr>
        <w:pStyle w:val="ListBullet2"/>
      </w:pPr>
      <w:r w:rsidRPr="00EA1282">
        <w:t>review of display plans prepared by the candidate (or as part of a team)</w:t>
      </w:r>
    </w:p>
    <w:p w:rsidR="00000000" w:rsidRPr="00EA1282" w:rsidP="00EA1282">
      <w:pPr>
        <w:pStyle w:val="ListBullet2"/>
      </w:pPr>
      <w:r w:rsidRPr="00EA1282">
        <w:t>examination of animal and plant displays prepared by the candidate</w:t>
      </w:r>
    </w:p>
    <w:p w:rsidR="00000000" w:rsidRPr="00EA1282" w:rsidP="00EA1282">
      <w:pPr>
        <w:pStyle w:val="ListBullet2"/>
      </w:pPr>
      <w:r w:rsidRPr="00EA1282">
        <w:t>observation of the candidate collecting, preserving and mounting specimens</w:t>
      </w:r>
    </w:p>
    <w:p w:rsidR="00000000" w:rsidRPr="00EA1282" w:rsidP="00EA1282">
      <w:pPr>
        <w:pStyle w:val="ListBullet2"/>
      </w:pPr>
      <w:r w:rsidRPr="00EA1282">
        <w:t>oral and written tests to assess required knowledge of legislative, regulatory and workplace requirements and techniques for preparing animal and plant material for display.</w:t>
      </w:r>
    </w:p>
    <w:p w:rsidR="00000000" w:rsidRPr="00EA1282" w:rsidP="00EA1282">
      <w:pPr>
        <w:pStyle w:val="ListBullet"/>
      </w:pPr>
      <w:r w:rsidRPr="00EA1282">
        <w:t>Access</w:t>
      </w:r>
      <w:r w:rsidRPr="00EA1282">
        <w:t xml:space="preserve"> is required to instruments, equipment, materials, workplace documentation, procedures and specifications associated with this unit, including, but not limited to:</w:t>
      </w:r>
    </w:p>
    <w:p w:rsidR="00000000" w:rsidRPr="00EA1282" w:rsidP="00EA1282">
      <w:pPr>
        <w:pStyle w:val="ListBullet2"/>
      </w:pPr>
      <w:r w:rsidRPr="00EA1282">
        <w:t>a standard laboratory equipped with equipment and reagents</w:t>
      </w:r>
    </w:p>
    <w:p w:rsidR="00000000" w:rsidRPr="00EA1282" w:rsidP="00EA1282">
      <w:pPr>
        <w:pStyle w:val="ListBullet2"/>
      </w:pPr>
      <w:r w:rsidRPr="00EA1282">
        <w:t>workplace procedures for the col</w:t>
      </w:r>
      <w:r w:rsidRPr="00EA1282">
        <w:t>lection, storage, preservation, mounting and documentation of specimens and preparation of displays.</w:t>
      </w:r>
    </w:p>
    <w:p w:rsidR="00000000" w:rsidRPr="00EA1282" w:rsidP="00EA1282">
      <w:pPr>
        <w:pStyle w:val="ListBullet"/>
      </w:pPr>
      <w:r w:rsidRPr="00EA1282">
        <w:t xml:space="preserve">Assessors must satisfy the assessor competency requirements that are in place at the time of the assessment as set by the VET regulator.  </w:t>
      </w:r>
    </w:p>
    <w:p w:rsidR="00000000" w:rsidRPr="00EA1282" w:rsidP="00EA1282">
      <w:pPr>
        <w:pStyle w:val="ListBullet"/>
      </w:pPr>
      <w:r w:rsidRPr="00EA1282">
        <w:t>The assessor mu</w:t>
      </w:r>
      <w:r w:rsidRPr="00EA1282">
        <w:t>st demonstrate both technical competence and currency.</w:t>
      </w:r>
    </w:p>
    <w:p w:rsidR="00000000" w:rsidRPr="00EA1282" w:rsidP="00EA1282">
      <w:pPr>
        <w:pStyle w:val="ListBullet"/>
      </w:pPr>
      <w:r w:rsidRPr="00EA1282">
        <w:t>Technical competence can be demonstrated through:</w:t>
      </w:r>
    </w:p>
    <w:p w:rsidR="00000000" w:rsidRPr="00EA1282" w:rsidP="00EA1282">
      <w:pPr>
        <w:pStyle w:val="ListBullet2"/>
      </w:pPr>
      <w:r w:rsidRPr="00EA1282">
        <w:t>relevant VET or other qualification/Statement of Attainment AND/OR</w:t>
      </w:r>
    </w:p>
    <w:p w:rsidR="00000000" w:rsidRPr="00EA1282" w:rsidP="00EA1282">
      <w:pPr>
        <w:pStyle w:val="ListBullet2"/>
      </w:pPr>
      <w:r w:rsidRPr="00EA1282">
        <w:t>relevant workplace experience.</w:t>
      </w:r>
    </w:p>
    <w:p w:rsidR="00000000" w:rsidRPr="00EA1282" w:rsidP="00EA1282">
      <w:pPr>
        <w:pStyle w:val="ListBullet"/>
      </w:pPr>
      <w:r w:rsidRPr="00EA1282">
        <w:t>Currency can be demonstrated through:</w:t>
      </w:r>
    </w:p>
    <w:p w:rsidR="00000000" w:rsidRPr="00EA1282" w:rsidP="00EA1282">
      <w:pPr>
        <w:pStyle w:val="ListBullet2"/>
      </w:pPr>
      <w:r w:rsidRPr="00EA1282">
        <w:t>performing the competency being assessed as part of current employment OR</w:t>
      </w:r>
    </w:p>
    <w:p w:rsidR="00000000" w:rsidRPr="00EA1282" w:rsidP="00EA1282">
      <w:pPr>
        <w:pStyle w:val="ListBullet2"/>
      </w:pPr>
      <w:r w:rsidRPr="00EA1282">
        <w:t>having consulted with a laboratory about performing the competency being assessed within the last twelve months.</w:t>
      </w:r>
    </w:p>
    <w:p w:rsidR="00000000" w:rsidRPr="00EA1282" w:rsidP="00EA1282">
      <w:pPr>
        <w:pStyle w:val="AllowPageBreak"/>
      </w:pPr>
    </w:p>
    <w:p w:rsidR="00000000" w:rsidRPr="00EA1282" w:rsidP="00EA1282">
      <w:pPr>
        <w:pStyle w:val="Heading1"/>
      </w:pPr>
      <w:bookmarkStart w:id="15" w:name="O_901814"/>
      <w:bookmarkEnd w:id="15"/>
      <w:r w:rsidRPr="00EA1282">
        <w:t>Links</w:t>
      </w:r>
    </w:p>
    <w:p w:rsidR="00000000" w:rsidRPr="00EA1282" w:rsidP="00670248">
      <w:pPr>
        <w:pStyle w:val="BodyText"/>
      </w:pPr>
      <w:r w:rsidRPr="00EA1282">
        <w:t>Companion Volume implementation guides are fou</w:t>
      </w:r>
      <w:r w:rsidRPr="00EA1282">
        <w:t xml:space="preserve">nd in VETNet - </w:t>
      </w:r>
      <w:r>
        <w:fldChar w:fldCharType="begin"/>
      </w:r>
      <w:r>
        <w:instrText xml:space="preserve"> HYPERLINK "https://vetnet.gov.au/Pages/TrainingDocs.aspx?q=5c63a03b-4a6b-4ae5-9560-1e3c5f462baa" </w:instrText>
      </w:r>
      <w:r>
        <w:fldChar w:fldCharType="separate"/>
      </w:r>
      <w:r w:rsidRPr="00104D51">
        <w:rPr>
          <w:rStyle w:val="Hyperlink"/>
        </w:rPr>
        <w:t>https://vetnet.gov.au/Pages/TrainingDocs.aspx?q=5c63a03b-4a6b-4ae5-9560-1e3c5f462baa</w:t>
      </w:r>
      <w:r>
        <w:fldChar w:fldCharType="end"/>
      </w:r>
    </w:p>
    <w:p w:rsidR="00000000" w:rsidRPr="00EA1282" w:rsidP="00EA1282"/>
    <w:sectPr w:rsidSect="00EA128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2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282" w:rsidRPr="00670248" w:rsidP="006702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2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248" w:rsidP="00EA12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670248" w:rsidP="00EA128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70248" w:rsidP="00EA128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282" w:rsidP="00EA1282">
    <w:pPr>
      <w:pStyle w:val="Footer"/>
      <w:framePr w:wrap="around"/>
    </w:pPr>
    <w:r>
      <w:fldChar w:fldCharType="begin"/>
    </w:r>
    <w:r>
      <w:instrText xml:space="preserve"> DOCPROPERTY  Subject  \* MERGEFORMAT </w:instrText>
    </w:r>
    <w:r>
      <w:fldChar w:fldCharType="separate"/>
    </w:r>
    <w:r w:rsidR="00670248">
      <w:t>Approved</w:t>
    </w:r>
    <w:r w:rsidR="00670248">
      <w:fldChar w:fldCharType="end"/>
    </w:r>
    <w:r>
      <w:tab/>
      <w:t xml:space="preserve">Page </w:t>
    </w:r>
    <w:r>
      <w:fldChar w:fldCharType="begin"/>
    </w:r>
    <w:r>
      <w:instrText xml:space="preserve"> PAGE  \* Arabic  \* MERGEFORMAT </w:instrText>
    </w:r>
    <w:r>
      <w:fldChar w:fldCharType="separate"/>
    </w:r>
    <w:r w:rsidR="00670248">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0248">
      <w:rPr>
        <w:noProof/>
      </w:rPr>
      <w:t>7</w:t>
    </w:r>
    <w:r>
      <w:rPr>
        <w:noProof/>
      </w:rPr>
      <w:fldChar w:fldCharType="end"/>
    </w:r>
  </w:p>
  <w:p w:rsidR="00EA1282" w:rsidP="00EA1282">
    <w:pPr>
      <w:pStyle w:val="Footer"/>
      <w:framePr w:wrap="around"/>
    </w:pPr>
    <w:r>
      <w:t xml:space="preserve">© Commonwealth of Australia, </w:t>
    </w:r>
    <w:r>
      <w:fldChar w:fldCharType="begin"/>
    </w:r>
    <w:r>
      <w:instrText xml:space="preserve"> DATE  \@ "yyyy"  \* MERGEFORMAT </w:instrText>
    </w:r>
    <w:r>
      <w:fldChar w:fldCharType="separate"/>
    </w:r>
    <w:r w:rsidR="00670248">
      <w:rPr>
        <w:noProof/>
      </w:rPr>
      <w:t>2025</w:t>
    </w:r>
    <w:r>
      <w:fldChar w:fldCharType="end"/>
    </w:r>
    <w:r>
      <w:tab/>
    </w:r>
    <w:r>
      <w:fldChar w:fldCharType="begin"/>
    </w:r>
    <w:r>
      <w:instrText xml:space="preserve"> DOCPROPERTY  Author  \* MERGEFORMAT </w:instrText>
    </w:r>
    <w:r>
      <w:fldChar w:fldCharType="separate"/>
    </w:r>
    <w:r w:rsidR="00670248">
      <w:t>Manufacturing Industry Skills Alliance</w:t>
    </w:r>
    <w:r w:rsidR="00670248">
      <w:fldChar w:fldCharType="end"/>
    </w:r>
  </w:p>
  <w:p w:rsidR="00EA1282" w:rsidP="00EA12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2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2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1282" w:rsidRPr="00670248" w:rsidP="006702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2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248" w:rsidRPr="002D2AF8" w:rsidP="00EA1282">
    <w:pPr>
      <w:pStyle w:val="Header"/>
      <w:framePr w:wrap="around"/>
    </w:pPr>
    <w:r>
      <w:fldChar w:fldCharType="begin"/>
    </w:r>
    <w:r>
      <w:instrText xml:space="preserve"> TITLE   \* MERGEFORMAT </w:instrText>
    </w:r>
    <w:r>
      <w:fldChar w:fldCharType="separate"/>
    </w:r>
    <w:r>
      <w:t>MSL975015 Prepare animal and plant material for display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70248" w:rsidP="00EA128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282" w:rsidRPr="002D2AF8" w:rsidP="00EA1282">
    <w:pPr>
      <w:pStyle w:val="Header"/>
      <w:framePr w:wrap="around"/>
    </w:pPr>
    <w:r>
      <w:fldChar w:fldCharType="begin"/>
    </w:r>
    <w:r>
      <w:instrText xml:space="preserve"> TITLE   \* MERGEFORMAT </w:instrText>
    </w:r>
    <w:r>
      <w:fldChar w:fldCharType="separate"/>
    </w:r>
    <w:r w:rsidR="00670248">
      <w:t>MSL975015 Prepare animal and plant material for display</w:t>
    </w:r>
    <w:r w:rsidR="00670248">
      <w:fldChar w:fldCharType="end"/>
    </w:r>
    <w:r>
      <w:tab/>
      <w:t xml:space="preserve">Date this document was generated: </w:t>
    </w:r>
    <w:r>
      <w:fldChar w:fldCharType="begin"/>
    </w:r>
    <w:r>
      <w:instrText xml:space="preserve"> CREATEDATE  \@ "d MMMM yyyy"  \* MERGEFORMAT </w:instrText>
    </w:r>
    <w:r>
      <w:fldChar w:fldCharType="separate"/>
    </w:r>
    <w:r w:rsidR="00670248">
      <w:rPr>
        <w:noProof/>
      </w:rPr>
      <w:t>2 March 2025</w:t>
    </w:r>
    <w:r>
      <w:fldChar w:fldCharType="end"/>
    </w:r>
  </w:p>
  <w:p w:rsidR="00EA1282" w:rsidP="00EA12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9458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10EB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AC30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12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1282"/>
    <w:pPr>
      <w:spacing w:before="360" w:after="60"/>
      <w:outlineLvl w:val="0"/>
    </w:pPr>
    <w:rPr>
      <w:sz w:val="32"/>
    </w:rPr>
  </w:style>
  <w:style w:type="paragraph" w:styleId="Heading2">
    <w:name w:val="heading 2"/>
    <w:basedOn w:val="HeadingBase"/>
    <w:next w:val="BodyText"/>
    <w:link w:val="Heading2Char"/>
    <w:qFormat/>
    <w:rsid w:val="00EA1282"/>
    <w:pPr>
      <w:keepLines/>
      <w:spacing w:before="240" w:after="120"/>
      <w:outlineLvl w:val="1"/>
    </w:pPr>
    <w:rPr>
      <w:sz w:val="28"/>
      <w:szCs w:val="40"/>
    </w:rPr>
  </w:style>
  <w:style w:type="paragraph" w:styleId="Heading3">
    <w:name w:val="heading 3"/>
    <w:basedOn w:val="HeadingBase"/>
    <w:next w:val="BodyText"/>
    <w:link w:val="Heading3Char"/>
    <w:qFormat/>
    <w:rsid w:val="00EA1282"/>
    <w:pPr>
      <w:spacing w:before="180" w:after="120"/>
      <w:outlineLvl w:val="2"/>
    </w:pPr>
    <w:rPr>
      <w:spacing w:val="-10"/>
      <w:kern w:val="32"/>
    </w:rPr>
  </w:style>
  <w:style w:type="paragraph" w:styleId="Heading4">
    <w:name w:val="heading 4"/>
    <w:basedOn w:val="HeadingBase"/>
    <w:next w:val="BodyText"/>
    <w:link w:val="Heading4Char"/>
    <w:qFormat/>
    <w:rsid w:val="00EA1282"/>
    <w:pPr>
      <w:spacing w:before="160" w:after="120"/>
      <w:outlineLvl w:val="3"/>
    </w:pPr>
    <w:rPr>
      <w:sz w:val="22"/>
    </w:rPr>
  </w:style>
  <w:style w:type="paragraph" w:styleId="Heading5">
    <w:name w:val="heading 5"/>
    <w:basedOn w:val="HeadingBase"/>
    <w:next w:val="Normal"/>
    <w:link w:val="Heading5Char"/>
    <w:qFormat/>
    <w:rsid w:val="00EA1282"/>
    <w:pPr>
      <w:spacing w:before="80"/>
      <w:outlineLvl w:val="4"/>
    </w:pPr>
    <w:rPr>
      <w:color w:val="918585"/>
      <w:sz w:val="20"/>
    </w:rPr>
  </w:style>
  <w:style w:type="paragraph" w:styleId="Heading6">
    <w:name w:val="heading 6"/>
    <w:basedOn w:val="HeadingBase"/>
    <w:next w:val="Normal"/>
    <w:link w:val="Heading6Char"/>
    <w:qFormat/>
    <w:rsid w:val="00EA1282"/>
    <w:pPr>
      <w:spacing w:before="60"/>
      <w:outlineLvl w:val="5"/>
    </w:pPr>
    <w:rPr>
      <w:color w:val="918585"/>
      <w:sz w:val="20"/>
    </w:rPr>
  </w:style>
  <w:style w:type="paragraph" w:styleId="Heading7">
    <w:name w:val="heading 7"/>
    <w:basedOn w:val="Normal"/>
    <w:next w:val="Normal"/>
    <w:link w:val="Heading7Char"/>
    <w:qFormat/>
    <w:rsid w:val="00EA1282"/>
    <w:pPr>
      <w:ind w:left="720"/>
      <w:outlineLvl w:val="6"/>
    </w:pPr>
    <w:rPr>
      <w:i/>
    </w:rPr>
  </w:style>
  <w:style w:type="paragraph" w:styleId="Heading8">
    <w:name w:val="heading 8"/>
    <w:basedOn w:val="Normal"/>
    <w:next w:val="Normal"/>
    <w:link w:val="Heading8Char"/>
    <w:qFormat/>
    <w:rsid w:val="00EA1282"/>
    <w:pPr>
      <w:ind w:left="720"/>
      <w:outlineLvl w:val="7"/>
    </w:pPr>
    <w:rPr>
      <w:i/>
    </w:rPr>
  </w:style>
  <w:style w:type="paragraph" w:styleId="Heading9">
    <w:name w:val="heading 9"/>
    <w:basedOn w:val="Normal"/>
    <w:next w:val="Normal"/>
    <w:link w:val="Heading9Char"/>
    <w:qFormat/>
    <w:rsid w:val="00EA1282"/>
    <w:pPr>
      <w:ind w:left="720"/>
      <w:outlineLvl w:val="8"/>
    </w:pPr>
    <w:rPr>
      <w:i/>
    </w:rPr>
  </w:style>
  <w:style w:type="character" w:default="1" w:styleId="DefaultParagraphFont">
    <w:name w:val="Default Paragraph Font"/>
    <w:uiPriority w:val="1"/>
    <w:unhideWhenUsed/>
    <w:rsid w:val="00EA12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1282"/>
  </w:style>
  <w:style w:type="character" w:customStyle="1" w:styleId="Heading1Char">
    <w:name w:val="Heading 1 Char"/>
    <w:basedOn w:val="DefaultParagraphFont"/>
    <w:link w:val="Heading1"/>
    <w:rsid w:val="00EA1282"/>
    <w:rPr>
      <w:rFonts w:ascii="Times New Roman" w:eastAsia="Times New Roman" w:hAnsi="Times New Roman" w:cs="Times New Roman"/>
      <w:b/>
      <w:sz w:val="32"/>
      <w:szCs w:val="20"/>
      <w:lang w:eastAsia="en-US"/>
    </w:rPr>
  </w:style>
  <w:style w:type="paragraph" w:styleId="BodyText">
    <w:name w:val="Body Text"/>
    <w:basedOn w:val="Normal"/>
    <w:link w:val="BodyTextChar"/>
    <w:rsid w:val="00EA12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1282"/>
    <w:rPr>
      <w:rFonts w:ascii="Times New Roman" w:eastAsia="Times New Roman" w:hAnsi="Times New Roman" w:cs="Times New Roman"/>
      <w:sz w:val="24"/>
      <w:lang w:eastAsia="en-US"/>
    </w:rPr>
  </w:style>
  <w:style w:type="paragraph" w:styleId="ListBullet">
    <w:name w:val="List Bullet"/>
    <w:basedOn w:val="List"/>
    <w:rsid w:val="00EA1282"/>
    <w:pPr>
      <w:numPr>
        <w:numId w:val="12"/>
      </w:numPr>
      <w:tabs>
        <w:tab w:val="clear" w:pos="340"/>
      </w:tabs>
      <w:spacing w:before="40" w:after="40"/>
    </w:pPr>
  </w:style>
  <w:style w:type="character" w:customStyle="1" w:styleId="SpecialBold">
    <w:name w:val="Special Bold"/>
    <w:basedOn w:val="DefaultParagraphFont"/>
    <w:rsid w:val="00EA1282"/>
    <w:rPr>
      <w:b/>
      <w:spacing w:val="0"/>
    </w:rPr>
  </w:style>
  <w:style w:type="paragraph" w:styleId="ListBullet2">
    <w:name w:val="List Bullet 2"/>
    <w:basedOn w:val="List2"/>
    <w:rsid w:val="00EA1282"/>
    <w:pPr>
      <w:numPr>
        <w:numId w:val="13"/>
      </w:numPr>
      <w:tabs>
        <w:tab w:val="clear" w:pos="680"/>
      </w:tabs>
    </w:pPr>
  </w:style>
  <w:style w:type="paragraph" w:customStyle="1" w:styleId="SuperHeading">
    <w:name w:val="SuperHeading"/>
    <w:basedOn w:val="Normal"/>
    <w:rsid w:val="00EA1282"/>
    <w:pPr>
      <w:spacing w:before="240" w:after="120"/>
      <w:outlineLvl w:val="0"/>
    </w:pPr>
    <w:rPr>
      <w:rFonts w:ascii="Times New Roman" w:hAnsi="Times New Roman"/>
      <w:b/>
      <w:sz w:val="32"/>
    </w:rPr>
  </w:style>
  <w:style w:type="paragraph" w:customStyle="1" w:styleId="AllowPageBreak">
    <w:name w:val="AllowPageBreak"/>
    <w:rsid w:val="00EA12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EA1282"/>
    <w:rPr>
      <w:rFonts w:ascii="Symbol" w:hAnsi="Symbol"/>
    </w:rPr>
  </w:style>
  <w:style w:type="character" w:customStyle="1" w:styleId="Heading2Char">
    <w:name w:val="Heading 2 Char"/>
    <w:basedOn w:val="DefaultParagraphFont"/>
    <w:link w:val="Heading2"/>
    <w:rsid w:val="00EA12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12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12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12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12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12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12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1282"/>
    <w:rPr>
      <w:rFonts w:ascii="Courier New" w:eastAsia="Times New Roman" w:hAnsi="Courier New" w:cs="Times New Roman"/>
      <w:i/>
      <w:szCs w:val="20"/>
      <w:lang w:eastAsia="en-US"/>
    </w:rPr>
  </w:style>
  <w:style w:type="paragraph" w:customStyle="1" w:styleId="HeadingBase">
    <w:name w:val="Heading Base"/>
    <w:rsid w:val="00EA12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1282"/>
    <w:pPr>
      <w:tabs>
        <w:tab w:val="right" w:leader="dot" w:pos="9072"/>
      </w:tabs>
      <w:ind w:left="567"/>
    </w:pPr>
    <w:rPr>
      <w:szCs w:val="22"/>
    </w:rPr>
  </w:style>
  <w:style w:type="paragraph" w:customStyle="1" w:styleId="TOCBase">
    <w:name w:val="TOC Base"/>
    <w:rsid w:val="00EA12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1282"/>
    <w:pPr>
      <w:tabs>
        <w:tab w:val="right" w:leader="dot" w:pos="9072"/>
      </w:tabs>
      <w:spacing w:before="40" w:after="40"/>
      <w:ind w:left="284"/>
    </w:pPr>
    <w:rPr>
      <w:rFonts w:ascii="Times New Roman" w:hAnsi="Times New Roman"/>
    </w:rPr>
  </w:style>
  <w:style w:type="paragraph" w:styleId="TOC1">
    <w:name w:val="toc 1"/>
    <w:basedOn w:val="TOCBase"/>
    <w:next w:val="Normal"/>
    <w:rsid w:val="00EA12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12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1282"/>
    <w:rPr>
      <w:rFonts w:ascii="Times New Roman" w:eastAsia="Times New Roman" w:hAnsi="Times New Roman" w:cs="Times New Roman"/>
      <w:sz w:val="16"/>
      <w:lang w:eastAsia="en-US"/>
    </w:rPr>
  </w:style>
  <w:style w:type="paragraph" w:styleId="Title">
    <w:name w:val="Title"/>
    <w:basedOn w:val="HeadingBase"/>
    <w:link w:val="TitleChar"/>
    <w:qFormat/>
    <w:rsid w:val="00EA1282"/>
    <w:pPr>
      <w:spacing w:before="5040"/>
      <w:jc w:val="center"/>
    </w:pPr>
    <w:rPr>
      <w:sz w:val="48"/>
      <w:szCs w:val="72"/>
      <w:lang w:val="en-US"/>
    </w:rPr>
  </w:style>
  <w:style w:type="character" w:customStyle="1" w:styleId="TitleChar">
    <w:name w:val="Title Char"/>
    <w:basedOn w:val="DefaultParagraphFont"/>
    <w:link w:val="Title"/>
    <w:rsid w:val="00EA12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1282"/>
    <w:pPr>
      <w:tabs>
        <w:tab w:val="left" w:pos="3600"/>
        <w:tab w:val="left" w:pos="3958"/>
      </w:tabs>
    </w:pPr>
  </w:style>
  <w:style w:type="paragraph" w:styleId="List">
    <w:name w:val="List"/>
    <w:basedOn w:val="BodyText"/>
    <w:next w:val="BodyText"/>
    <w:rsid w:val="00EA1282"/>
    <w:pPr>
      <w:tabs>
        <w:tab w:val="left" w:pos="340"/>
      </w:tabs>
      <w:spacing w:before="60" w:after="60"/>
      <w:ind w:left="340" w:hanging="340"/>
    </w:pPr>
  </w:style>
  <w:style w:type="paragraph" w:customStyle="1" w:styleId="Note">
    <w:name w:val="Note"/>
    <w:basedOn w:val="BodyText"/>
    <w:rsid w:val="00EA12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1282"/>
    <w:pPr>
      <w:framePr w:wrap="auto" w:hAnchor="text" w:y="6049"/>
    </w:pPr>
    <w:rPr>
      <w:color w:val="000000"/>
      <w:sz w:val="40"/>
    </w:rPr>
  </w:style>
  <w:style w:type="paragraph" w:customStyle="1" w:styleId="TOCTitle">
    <w:name w:val="TOCTitle"/>
    <w:basedOn w:val="Heading1"/>
    <w:rsid w:val="00EA1282"/>
    <w:pPr>
      <w:spacing w:after="240"/>
      <w:jc w:val="center"/>
      <w:outlineLvl w:val="9"/>
    </w:pPr>
    <w:rPr>
      <w:caps/>
    </w:rPr>
  </w:style>
  <w:style w:type="paragraph" w:customStyle="1" w:styleId="Version">
    <w:name w:val="Version"/>
    <w:rsid w:val="00EA12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1282"/>
    <w:pPr>
      <w:keepNext w:val="0"/>
      <w:tabs>
        <w:tab w:val="right" w:pos="4176"/>
      </w:tabs>
      <w:ind w:left="198" w:hanging="198"/>
    </w:pPr>
    <w:rPr>
      <w:rFonts w:ascii="Garamond" w:hAnsi="Garamond"/>
    </w:rPr>
  </w:style>
  <w:style w:type="paragraph" w:styleId="IndexHeading">
    <w:name w:val="index heading"/>
    <w:basedOn w:val="Normal"/>
    <w:next w:val="Index1"/>
    <w:semiHidden/>
    <w:rsid w:val="00EA1282"/>
    <w:pPr>
      <w:spacing w:before="120" w:after="120"/>
    </w:pPr>
    <w:rPr>
      <w:rFonts w:ascii="Arial" w:hAnsi="Arial"/>
      <w:b/>
      <w:color w:val="918585"/>
      <w:sz w:val="24"/>
    </w:rPr>
  </w:style>
  <w:style w:type="paragraph" w:styleId="Header">
    <w:name w:val="header"/>
    <w:basedOn w:val="Normal"/>
    <w:link w:val="HeaderChar"/>
    <w:rsid w:val="00EA12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1282"/>
    <w:rPr>
      <w:rFonts w:ascii="Times New Roman" w:eastAsia="Times New Roman" w:hAnsi="Times New Roman" w:cs="Times New Roman"/>
      <w:sz w:val="16"/>
      <w:szCs w:val="20"/>
      <w:lang w:val="en-GB" w:eastAsia="en-US"/>
    </w:rPr>
  </w:style>
  <w:style w:type="paragraph" w:customStyle="1" w:styleId="Chapter">
    <w:name w:val="Chapter"/>
    <w:basedOn w:val="Normal"/>
    <w:rsid w:val="00EA1282"/>
    <w:pPr>
      <w:spacing w:before="240"/>
    </w:pPr>
    <w:rPr>
      <w:rFonts w:ascii="Times New Roman" w:hAnsi="Times New Roman"/>
      <w:smallCaps/>
      <w:spacing w:val="80"/>
      <w:sz w:val="28"/>
    </w:rPr>
  </w:style>
  <w:style w:type="paragraph" w:customStyle="1" w:styleId="InChapter">
    <w:name w:val="InChapter"/>
    <w:basedOn w:val="Heading3"/>
    <w:rsid w:val="00EA1282"/>
    <w:pPr>
      <w:spacing w:after="240"/>
      <w:outlineLvl w:val="9"/>
    </w:pPr>
    <w:rPr>
      <w:noProof/>
    </w:rPr>
  </w:style>
  <w:style w:type="paragraph" w:styleId="Index2">
    <w:name w:val="index 2"/>
    <w:basedOn w:val="Normal"/>
    <w:next w:val="Normal"/>
    <w:semiHidden/>
    <w:rsid w:val="00EA1282"/>
    <w:pPr>
      <w:tabs>
        <w:tab w:val="right" w:pos="4176"/>
      </w:tabs>
      <w:ind w:left="568" w:hanging="284"/>
    </w:pPr>
    <w:rPr>
      <w:rFonts w:ascii="Garamond" w:hAnsi="Garamond"/>
    </w:rPr>
  </w:style>
  <w:style w:type="paragraph" w:customStyle="1" w:styleId="Byline">
    <w:name w:val="Byline"/>
    <w:rsid w:val="00EA12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1282"/>
    <w:pPr>
      <w:tabs>
        <w:tab w:val="clear" w:pos="3600"/>
        <w:tab w:val="clear" w:pos="3958"/>
      </w:tabs>
      <w:jc w:val="right"/>
    </w:pPr>
  </w:style>
  <w:style w:type="character" w:styleId="Emphasis">
    <w:name w:val="Emphasis"/>
    <w:basedOn w:val="DefaultParagraphFont"/>
    <w:qFormat/>
    <w:rsid w:val="00EA1282"/>
    <w:rPr>
      <w:i/>
    </w:rPr>
  </w:style>
  <w:style w:type="paragraph" w:styleId="Caption">
    <w:name w:val="caption"/>
    <w:basedOn w:val="BodyText"/>
    <w:next w:val="Normal"/>
    <w:qFormat/>
    <w:rsid w:val="00EA1282"/>
    <w:pPr>
      <w:framePr w:w="2268" w:hSpace="181" w:vSpace="181" w:wrap="around" w:vAnchor="text" w:hAnchor="page" w:x="1135" w:y="285" w:anchorLock="1"/>
    </w:pPr>
    <w:rPr>
      <w:i/>
    </w:rPr>
  </w:style>
  <w:style w:type="paragraph" w:customStyle="1" w:styleId="MiniTOCTitle">
    <w:name w:val="MiniTOCTitle"/>
    <w:basedOn w:val="Heading4"/>
    <w:rsid w:val="00EA1282"/>
    <w:pPr>
      <w:spacing w:before="240"/>
      <w:outlineLvl w:val="9"/>
    </w:pPr>
    <w:rPr>
      <w:noProof/>
      <w:sz w:val="24"/>
    </w:rPr>
  </w:style>
  <w:style w:type="paragraph" w:customStyle="1" w:styleId="MiniTOCItem">
    <w:name w:val="MiniTOCItem"/>
    <w:basedOn w:val="ListBullet"/>
    <w:rsid w:val="00EA1282"/>
    <w:pPr>
      <w:numPr>
        <w:numId w:val="0"/>
      </w:numPr>
      <w:tabs>
        <w:tab w:val="right" w:leader="dot" w:pos="6521"/>
      </w:tabs>
      <w:spacing w:before="0" w:after="0"/>
    </w:pPr>
  </w:style>
  <w:style w:type="paragraph" w:customStyle="1" w:styleId="TOFTitle">
    <w:name w:val="TOFTitle"/>
    <w:basedOn w:val="TOCTitle"/>
    <w:rsid w:val="00EA1282"/>
  </w:style>
  <w:style w:type="paragraph" w:styleId="TableofFigures">
    <w:name w:val="table of figures"/>
    <w:basedOn w:val="Normal"/>
    <w:next w:val="Normal"/>
    <w:semiHidden/>
    <w:rsid w:val="00EA1282"/>
    <w:pPr>
      <w:tabs>
        <w:tab w:val="right" w:leader="dot" w:pos="9072"/>
      </w:tabs>
      <w:ind w:left="970" w:hanging="403"/>
    </w:pPr>
    <w:rPr>
      <w:rFonts w:ascii="Times New Roman" w:hAnsi="Times New Roman"/>
      <w:b/>
    </w:rPr>
  </w:style>
  <w:style w:type="paragraph" w:styleId="ListNumber">
    <w:name w:val="List Number"/>
    <w:basedOn w:val="List"/>
    <w:rsid w:val="00EA1282"/>
    <w:pPr>
      <w:numPr>
        <w:numId w:val="15"/>
      </w:numPr>
      <w:tabs>
        <w:tab w:val="clear" w:pos="340"/>
      </w:tabs>
    </w:pPr>
  </w:style>
  <w:style w:type="character" w:customStyle="1" w:styleId="WingdingSymbols">
    <w:name w:val="Wingding Symbols"/>
    <w:rsid w:val="00EA1282"/>
    <w:rPr>
      <w:rFonts w:ascii="Wingdings" w:hAnsi="Wingdings"/>
    </w:rPr>
  </w:style>
  <w:style w:type="paragraph" w:customStyle="1" w:styleId="TableHeading">
    <w:name w:val="Table Heading"/>
    <w:basedOn w:val="HeadingBase"/>
    <w:rsid w:val="00EA1282"/>
    <w:pPr>
      <w:keepLines/>
      <w:pBdr>
        <w:bottom w:val="single" w:sz="6" w:space="1" w:color="918585"/>
      </w:pBdr>
      <w:spacing w:before="240"/>
    </w:pPr>
  </w:style>
  <w:style w:type="character" w:customStyle="1" w:styleId="HotSpot">
    <w:name w:val="HotSpot"/>
    <w:rsid w:val="00EA1282"/>
    <w:rPr>
      <w:color w:val="0033CC"/>
      <w:u w:val="none"/>
    </w:rPr>
  </w:style>
  <w:style w:type="paragraph" w:customStyle="1" w:styleId="BodyTextRight">
    <w:name w:val="Body Text Right"/>
    <w:basedOn w:val="BodyText"/>
    <w:rsid w:val="00EA1282"/>
    <w:pPr>
      <w:spacing w:before="0" w:after="0"/>
      <w:jc w:val="right"/>
    </w:pPr>
  </w:style>
  <w:style w:type="paragraph" w:styleId="Index3">
    <w:name w:val="index 3"/>
    <w:basedOn w:val="ListNumber2"/>
    <w:next w:val="Normal"/>
    <w:semiHidden/>
    <w:rsid w:val="00EA1282"/>
    <w:pPr>
      <w:numPr>
        <w:numId w:val="0"/>
      </w:numPr>
      <w:tabs>
        <w:tab w:val="right" w:leader="dot" w:pos="4176"/>
      </w:tabs>
    </w:pPr>
  </w:style>
  <w:style w:type="paragraph" w:styleId="ListNumber2">
    <w:name w:val="List Number 2"/>
    <w:basedOn w:val="List2"/>
    <w:rsid w:val="00EA1282"/>
    <w:pPr>
      <w:numPr>
        <w:numId w:val="10"/>
      </w:numPr>
      <w:tabs>
        <w:tab w:val="clear" w:pos="1060"/>
      </w:tabs>
    </w:pPr>
  </w:style>
  <w:style w:type="paragraph" w:customStyle="1" w:styleId="MarginNote">
    <w:name w:val="Margin Note"/>
    <w:basedOn w:val="BodyText"/>
    <w:rsid w:val="00EA12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12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12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1282"/>
    <w:rPr>
      <w:sz w:val="32"/>
    </w:rPr>
  </w:style>
  <w:style w:type="paragraph" w:customStyle="1" w:styleId="HeadingProcedure">
    <w:name w:val="Heading Procedure"/>
    <w:basedOn w:val="HeadingBase"/>
    <w:next w:val="Normal"/>
    <w:rsid w:val="00EA1282"/>
    <w:pPr>
      <w:tabs>
        <w:tab w:val="left" w:pos="0"/>
      </w:tabs>
      <w:spacing w:before="120" w:after="60"/>
    </w:pPr>
    <w:rPr>
      <w:i/>
      <w:color w:val="918585"/>
      <w:sz w:val="22"/>
    </w:rPr>
  </w:style>
  <w:style w:type="paragraph" w:customStyle="1" w:styleId="TableBodyText">
    <w:name w:val="Table Body Text"/>
    <w:basedOn w:val="BodyText"/>
    <w:rsid w:val="00EA1282"/>
    <w:pPr>
      <w:spacing w:before="60" w:after="60"/>
    </w:pPr>
  </w:style>
  <w:style w:type="paragraph" w:styleId="ListContinue">
    <w:name w:val="List Continue"/>
    <w:basedOn w:val="List"/>
    <w:rsid w:val="00EA1282"/>
    <w:pPr>
      <w:ind w:firstLine="0"/>
    </w:pPr>
  </w:style>
  <w:style w:type="paragraph" w:customStyle="1" w:styleId="ListNote">
    <w:name w:val="List Note"/>
    <w:basedOn w:val="List"/>
    <w:rsid w:val="00EA1282"/>
    <w:pPr>
      <w:pBdr>
        <w:top w:val="single" w:sz="6" w:space="2" w:color="918585"/>
        <w:bottom w:val="single" w:sz="6" w:space="2" w:color="918585"/>
      </w:pBdr>
      <w:tabs>
        <w:tab w:val="left" w:pos="1021"/>
      </w:tabs>
      <w:ind w:firstLine="0"/>
    </w:pPr>
  </w:style>
  <w:style w:type="paragraph" w:customStyle="1" w:styleId="Warning">
    <w:name w:val="Warning"/>
    <w:basedOn w:val="BodyText"/>
    <w:rsid w:val="00EA1282"/>
    <w:pPr>
      <w:shd w:val="clear" w:color="auto" w:fill="D9D9D9"/>
      <w:tabs>
        <w:tab w:val="left" w:pos="992"/>
      </w:tabs>
      <w:ind w:left="119" w:right="119"/>
    </w:pPr>
    <w:rPr>
      <w:sz w:val="20"/>
    </w:rPr>
  </w:style>
  <w:style w:type="paragraph" w:customStyle="1" w:styleId="MarginIcons">
    <w:name w:val="Margin Icons"/>
    <w:basedOn w:val="BodyText"/>
    <w:rsid w:val="00EA12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1282"/>
    <w:rPr>
      <w:rFonts w:ascii="Courier New" w:hAnsi="Courier New"/>
    </w:rPr>
  </w:style>
  <w:style w:type="paragraph" w:customStyle="1" w:styleId="NoteBullet">
    <w:name w:val="Note Bullet"/>
    <w:basedOn w:val="Note"/>
    <w:rsid w:val="00EA1282"/>
    <w:pPr>
      <w:tabs>
        <w:tab w:val="clear" w:pos="680"/>
      </w:tabs>
      <w:spacing w:before="60" w:after="60"/>
    </w:pPr>
  </w:style>
  <w:style w:type="paragraph" w:customStyle="1" w:styleId="SubHeading2">
    <w:name w:val="SubHeading2"/>
    <w:basedOn w:val="HeadingBase"/>
    <w:rsid w:val="00EA1282"/>
    <w:pPr>
      <w:spacing w:before="240" w:after="60"/>
    </w:pPr>
    <w:rPr>
      <w:sz w:val="20"/>
    </w:rPr>
  </w:style>
  <w:style w:type="paragraph" w:customStyle="1" w:styleId="SubHeading1">
    <w:name w:val="SubHeading1"/>
    <w:basedOn w:val="HeadingBase"/>
    <w:rsid w:val="00EA1282"/>
    <w:pPr>
      <w:spacing w:before="240" w:after="60"/>
    </w:pPr>
    <w:rPr>
      <w:color w:val="918585"/>
      <w:sz w:val="22"/>
    </w:rPr>
  </w:style>
  <w:style w:type="paragraph" w:customStyle="1" w:styleId="SideHeading">
    <w:name w:val="Side Heading"/>
    <w:basedOn w:val="HeadingBase"/>
    <w:rsid w:val="00EA12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1282"/>
    <w:pPr>
      <w:tabs>
        <w:tab w:val="num" w:pos="360"/>
      </w:tabs>
    </w:pPr>
  </w:style>
  <w:style w:type="paragraph" w:styleId="PlainText">
    <w:name w:val="Plain Text"/>
    <w:basedOn w:val="Normal"/>
    <w:link w:val="PlainTextChar"/>
    <w:rsid w:val="00EA1282"/>
    <w:rPr>
      <w:sz w:val="20"/>
    </w:rPr>
  </w:style>
  <w:style w:type="character" w:customStyle="1" w:styleId="PlainTextChar">
    <w:name w:val="Plain Text Char"/>
    <w:basedOn w:val="DefaultParagraphFont"/>
    <w:link w:val="PlainText"/>
    <w:rsid w:val="00EA1282"/>
    <w:rPr>
      <w:rFonts w:ascii="Courier New" w:eastAsia="Times New Roman" w:hAnsi="Courier New" w:cs="Times New Roman"/>
      <w:sz w:val="20"/>
      <w:szCs w:val="20"/>
      <w:lang w:eastAsia="en-US"/>
    </w:rPr>
  </w:style>
  <w:style w:type="character" w:customStyle="1" w:styleId="MenuOption">
    <w:name w:val="Menu Option"/>
    <w:basedOn w:val="DefaultParagraphFont"/>
    <w:rsid w:val="00EA1282"/>
    <w:rPr>
      <w:b/>
      <w:smallCaps/>
    </w:rPr>
  </w:style>
  <w:style w:type="paragraph" w:customStyle="1" w:styleId="TableListNumber">
    <w:name w:val="Table List Number"/>
    <w:basedOn w:val="ListNumber"/>
    <w:rsid w:val="00EA1282"/>
    <w:pPr>
      <w:numPr>
        <w:numId w:val="0"/>
      </w:numPr>
    </w:pPr>
  </w:style>
  <w:style w:type="paragraph" w:styleId="TOC4">
    <w:name w:val="toc 4"/>
    <w:basedOn w:val="TOCBase"/>
    <w:next w:val="Normal"/>
    <w:semiHidden/>
    <w:rsid w:val="00EA1282"/>
    <w:pPr>
      <w:tabs>
        <w:tab w:val="right" w:leader="dot" w:pos="9071"/>
      </w:tabs>
      <w:ind w:left="1701"/>
    </w:pPr>
  </w:style>
  <w:style w:type="paragraph" w:customStyle="1" w:styleId="ListAlpha">
    <w:name w:val="List Alpha"/>
    <w:basedOn w:val="List"/>
    <w:rsid w:val="00EA1282"/>
    <w:pPr>
      <w:numPr>
        <w:numId w:val="9"/>
      </w:numPr>
    </w:pPr>
  </w:style>
  <w:style w:type="paragraph" w:customStyle="1" w:styleId="ListAlpha2">
    <w:name w:val="List Alpha 2"/>
    <w:basedOn w:val="List2"/>
    <w:rsid w:val="00EA1282"/>
    <w:pPr>
      <w:numPr>
        <w:numId w:val="8"/>
      </w:numPr>
    </w:pPr>
  </w:style>
  <w:style w:type="paragraph" w:styleId="List2">
    <w:name w:val="List 2"/>
    <w:basedOn w:val="BodyText"/>
    <w:rsid w:val="00EA1282"/>
    <w:pPr>
      <w:tabs>
        <w:tab w:val="left" w:pos="680"/>
      </w:tabs>
      <w:spacing w:before="60" w:after="60"/>
      <w:ind w:left="680" w:hanging="340"/>
    </w:pPr>
  </w:style>
  <w:style w:type="paragraph" w:styleId="List3">
    <w:name w:val="List 3"/>
    <w:basedOn w:val="BodyText"/>
    <w:rsid w:val="00EA1282"/>
    <w:pPr>
      <w:tabs>
        <w:tab w:val="left" w:pos="1021"/>
      </w:tabs>
      <w:spacing w:before="60" w:after="60"/>
      <w:ind w:left="1020" w:hanging="340"/>
    </w:pPr>
  </w:style>
  <w:style w:type="paragraph" w:styleId="List4">
    <w:name w:val="List 4"/>
    <w:basedOn w:val="BodyText"/>
    <w:rsid w:val="00EA1282"/>
    <w:pPr>
      <w:tabs>
        <w:tab w:val="left" w:pos="1361"/>
      </w:tabs>
      <w:spacing w:before="60" w:after="60"/>
      <w:ind w:left="1361" w:hanging="340"/>
    </w:pPr>
  </w:style>
  <w:style w:type="paragraph" w:styleId="List5">
    <w:name w:val="List 5"/>
    <w:basedOn w:val="BodyText"/>
    <w:rsid w:val="00EA1282"/>
    <w:pPr>
      <w:tabs>
        <w:tab w:val="left" w:pos="1701"/>
      </w:tabs>
      <w:spacing w:before="60" w:after="60"/>
      <w:ind w:left="1701" w:hanging="340"/>
    </w:pPr>
  </w:style>
  <w:style w:type="paragraph" w:styleId="ListBullet3">
    <w:name w:val="List Bullet 3"/>
    <w:basedOn w:val="List3"/>
    <w:rsid w:val="00EA1282"/>
    <w:pPr>
      <w:numPr>
        <w:numId w:val="14"/>
      </w:numPr>
      <w:tabs>
        <w:tab w:val="clear" w:pos="1021"/>
      </w:tabs>
      <w:ind w:left="1037" w:hanging="357"/>
    </w:pPr>
  </w:style>
  <w:style w:type="paragraph" w:styleId="ListBullet4">
    <w:name w:val="List Bullet 4"/>
    <w:basedOn w:val="List4"/>
    <w:rsid w:val="00EA1282"/>
    <w:pPr>
      <w:numPr>
        <w:numId w:val="3"/>
      </w:numPr>
      <w:tabs>
        <w:tab w:val="clear" w:pos="1361"/>
      </w:tabs>
    </w:pPr>
  </w:style>
  <w:style w:type="paragraph" w:styleId="ListBullet5">
    <w:name w:val="List Bullet 5"/>
    <w:basedOn w:val="List5"/>
    <w:rsid w:val="00EA1282"/>
    <w:pPr>
      <w:numPr>
        <w:numId w:val="4"/>
      </w:numPr>
    </w:pPr>
  </w:style>
  <w:style w:type="paragraph" w:styleId="ListContinue2">
    <w:name w:val="List Continue 2"/>
    <w:basedOn w:val="List2"/>
    <w:rsid w:val="00EA1282"/>
    <w:pPr>
      <w:ind w:firstLine="0"/>
    </w:pPr>
  </w:style>
  <w:style w:type="paragraph" w:styleId="ListContinue3">
    <w:name w:val="List Continue 3"/>
    <w:basedOn w:val="List3"/>
    <w:rsid w:val="00EA1282"/>
    <w:pPr>
      <w:ind w:left="1021" w:firstLine="0"/>
    </w:pPr>
  </w:style>
  <w:style w:type="paragraph" w:styleId="ListContinue4">
    <w:name w:val="List Continue 4"/>
    <w:basedOn w:val="List4"/>
    <w:rsid w:val="00EA1282"/>
    <w:pPr>
      <w:ind w:firstLine="0"/>
    </w:pPr>
  </w:style>
  <w:style w:type="paragraph" w:styleId="ListContinue5">
    <w:name w:val="List Continue 5"/>
    <w:basedOn w:val="List5"/>
    <w:rsid w:val="00EA1282"/>
    <w:pPr>
      <w:ind w:firstLine="0"/>
    </w:pPr>
  </w:style>
  <w:style w:type="paragraph" w:styleId="ListNumber3">
    <w:name w:val="List Number 3"/>
    <w:basedOn w:val="List3"/>
    <w:rsid w:val="00EA1282"/>
    <w:pPr>
      <w:numPr>
        <w:numId w:val="5"/>
      </w:numPr>
    </w:pPr>
  </w:style>
  <w:style w:type="paragraph" w:styleId="ListNumber4">
    <w:name w:val="List Number 4"/>
    <w:basedOn w:val="List4"/>
    <w:rsid w:val="00EA1282"/>
    <w:pPr>
      <w:numPr>
        <w:numId w:val="6"/>
      </w:numPr>
    </w:pPr>
  </w:style>
  <w:style w:type="paragraph" w:styleId="ListNumber5">
    <w:name w:val="List Number 5"/>
    <w:basedOn w:val="List5"/>
    <w:rsid w:val="00EA1282"/>
    <w:pPr>
      <w:numPr>
        <w:numId w:val="7"/>
      </w:numPr>
    </w:pPr>
  </w:style>
  <w:style w:type="paragraph" w:styleId="BlockText">
    <w:name w:val="Block Text"/>
    <w:basedOn w:val="Normal"/>
    <w:rsid w:val="00EA1282"/>
    <w:pPr>
      <w:spacing w:after="120"/>
      <w:ind w:left="1440" w:right="1440"/>
    </w:pPr>
  </w:style>
  <w:style w:type="character" w:customStyle="1" w:styleId="Subscript">
    <w:name w:val="Subscript"/>
    <w:basedOn w:val="DefaultParagraphFont"/>
    <w:rsid w:val="00EA1282"/>
    <w:rPr>
      <w:sz w:val="16"/>
      <w:vertAlign w:val="subscript"/>
    </w:rPr>
  </w:style>
  <w:style w:type="character" w:customStyle="1" w:styleId="Superscript">
    <w:name w:val="Superscript"/>
    <w:basedOn w:val="DefaultParagraphFont"/>
    <w:rsid w:val="00EA1282"/>
    <w:rPr>
      <w:sz w:val="16"/>
      <w:vertAlign w:val="superscript"/>
    </w:rPr>
  </w:style>
  <w:style w:type="character" w:customStyle="1" w:styleId="MenuOptions">
    <w:name w:val="Menu Options"/>
    <w:basedOn w:val="DefaultParagraphFont"/>
    <w:rsid w:val="00EA1282"/>
    <w:rPr>
      <w:rFonts w:ascii="Arial Narrow" w:hAnsi="Arial Narrow"/>
      <w:smallCaps/>
    </w:rPr>
  </w:style>
  <w:style w:type="character" w:customStyle="1" w:styleId="Buttons">
    <w:name w:val="Buttons"/>
    <w:basedOn w:val="DefaultParagraphFont"/>
    <w:rsid w:val="00EA1282"/>
    <w:rPr>
      <w:b/>
    </w:rPr>
  </w:style>
  <w:style w:type="character" w:customStyle="1" w:styleId="Underlined">
    <w:name w:val="Underlined"/>
    <w:basedOn w:val="DefaultParagraphFont"/>
    <w:rsid w:val="00EA1282"/>
    <w:rPr>
      <w:u w:val="single"/>
    </w:rPr>
  </w:style>
  <w:style w:type="paragraph" w:customStyle="1" w:styleId="TableBodyTextRight">
    <w:name w:val="Table Body Text Right"/>
    <w:basedOn w:val="TableBodyText"/>
    <w:rsid w:val="00EA1282"/>
    <w:pPr>
      <w:widowControl w:val="0"/>
      <w:autoSpaceDE w:val="0"/>
      <w:autoSpaceDN w:val="0"/>
      <w:adjustRightInd w:val="0"/>
      <w:jc w:val="right"/>
    </w:pPr>
    <w:rPr>
      <w:rFonts w:cs="Arial"/>
      <w:szCs w:val="18"/>
    </w:rPr>
  </w:style>
  <w:style w:type="paragraph" w:customStyle="1" w:styleId="CopyrightText">
    <w:name w:val="Copyright Text"/>
    <w:basedOn w:val="BodyText"/>
    <w:rsid w:val="00EA1282"/>
    <w:rPr>
      <w:sz w:val="18"/>
    </w:rPr>
  </w:style>
  <w:style w:type="paragraph" w:customStyle="1" w:styleId="BodySmallRight">
    <w:name w:val="Body Small Right"/>
    <w:basedOn w:val="BodyTextRight"/>
    <w:rsid w:val="00EA1282"/>
    <w:rPr>
      <w:sz w:val="18"/>
      <w:szCs w:val="18"/>
    </w:rPr>
  </w:style>
  <w:style w:type="paragraph" w:customStyle="1" w:styleId="MarginEdition">
    <w:name w:val="Margin Edition"/>
    <w:basedOn w:val="MarginNote"/>
    <w:rsid w:val="00EA1282"/>
    <w:pPr>
      <w:spacing w:before="0" w:after="0"/>
    </w:pPr>
    <w:rPr>
      <w:rFonts w:ascii="Times New Roman" w:hAnsi="Times New Roman"/>
      <w:color w:val="999999"/>
    </w:rPr>
  </w:style>
  <w:style w:type="paragraph" w:customStyle="1" w:styleId="Spacer">
    <w:name w:val="Spacer"/>
    <w:basedOn w:val="Normal"/>
    <w:rsid w:val="00EA1282"/>
    <w:rPr>
      <w:sz w:val="2"/>
      <w:szCs w:val="2"/>
    </w:rPr>
  </w:style>
  <w:style w:type="character" w:customStyle="1" w:styleId="Small">
    <w:name w:val="Small"/>
    <w:basedOn w:val="DefaultParagraphFont"/>
    <w:rsid w:val="00EA1282"/>
    <w:rPr>
      <w:sz w:val="16"/>
    </w:rPr>
  </w:style>
  <w:style w:type="paragraph" w:customStyle="1" w:styleId="WideTable">
    <w:name w:val="Wide Table"/>
    <w:basedOn w:val="Normal"/>
    <w:rsid w:val="00EA1282"/>
    <w:pPr>
      <w:ind w:left="-1418"/>
    </w:pPr>
    <w:rPr>
      <w:sz w:val="2"/>
      <w:szCs w:val="2"/>
    </w:rPr>
  </w:style>
  <w:style w:type="character" w:styleId="PageNumber">
    <w:name w:val="page number"/>
    <w:basedOn w:val="DefaultParagraphFont"/>
    <w:rsid w:val="00EA1282"/>
  </w:style>
  <w:style w:type="paragraph" w:styleId="Quote">
    <w:name w:val="Quote"/>
    <w:basedOn w:val="Heading1"/>
    <w:link w:val="QuoteChar"/>
    <w:qFormat/>
    <w:rsid w:val="00EA1282"/>
    <w:rPr>
      <w:b w:val="0"/>
      <w:sz w:val="72"/>
      <w:szCs w:val="72"/>
      <w:lang w:val="en-NZ"/>
    </w:rPr>
  </w:style>
  <w:style w:type="character" w:customStyle="1" w:styleId="QuoteChar">
    <w:name w:val="Quote Char"/>
    <w:basedOn w:val="DefaultParagraphFont"/>
    <w:link w:val="Quote"/>
    <w:rsid w:val="00EA12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1282"/>
    <w:pPr>
      <w:pageBreakBefore/>
    </w:pPr>
  </w:style>
  <w:style w:type="paragraph" w:customStyle="1" w:styleId="Border">
    <w:name w:val="Border"/>
    <w:basedOn w:val="Normal"/>
    <w:qFormat/>
    <w:rsid w:val="00EA12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1282"/>
    <w:rPr>
      <w:b/>
      <w:bCs/>
      <w:i/>
      <w:iCs/>
      <w:color w:val="auto"/>
    </w:rPr>
  </w:style>
  <w:style w:type="paragraph" w:styleId="IntenseQuote">
    <w:name w:val="Intense Quote"/>
    <w:basedOn w:val="Normal"/>
    <w:next w:val="Normal"/>
    <w:link w:val="IntenseQuoteChar"/>
    <w:uiPriority w:val="30"/>
    <w:qFormat/>
    <w:rsid w:val="00EA12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12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1282"/>
    <w:rPr>
      <w:smallCaps/>
      <w:color w:val="auto"/>
      <w:u w:val="single"/>
    </w:rPr>
  </w:style>
  <w:style w:type="character" w:styleId="IntenseReference">
    <w:name w:val="Intense Reference"/>
    <w:basedOn w:val="DefaultParagraphFont"/>
    <w:uiPriority w:val="32"/>
    <w:qFormat/>
    <w:rsid w:val="00EA1282"/>
    <w:rPr>
      <w:b/>
      <w:bCs/>
      <w:smallCaps/>
      <w:color w:val="auto"/>
      <w:spacing w:val="5"/>
      <w:u w:val="single"/>
    </w:rPr>
  </w:style>
  <w:style w:type="paragraph" w:customStyle="1" w:styleId="2ColumnHeading">
    <w:name w:val="2Column Heading"/>
    <w:basedOn w:val="BodyText"/>
    <w:qFormat/>
    <w:rsid w:val="00EA1282"/>
    <w:pPr>
      <w:spacing w:after="60"/>
      <w:ind w:left="-2268"/>
    </w:pPr>
    <w:rPr>
      <w:b/>
    </w:rPr>
  </w:style>
  <w:style w:type="paragraph" w:customStyle="1" w:styleId="Heading1TOC">
    <w:name w:val="Heading1 TOC"/>
    <w:basedOn w:val="Normal"/>
    <w:qFormat/>
    <w:rsid w:val="00EA1282"/>
    <w:pPr>
      <w:spacing w:before="240" w:after="120"/>
    </w:pPr>
    <w:rPr>
      <w:rFonts w:ascii="Times New Roman" w:hAnsi="Times New Roman"/>
      <w:b/>
      <w:sz w:val="32"/>
    </w:rPr>
  </w:style>
  <w:style w:type="paragraph" w:customStyle="1" w:styleId="Heading2TOC">
    <w:name w:val="Heading2 TOC"/>
    <w:basedOn w:val="Normal"/>
    <w:qFormat/>
    <w:rsid w:val="00EA1282"/>
    <w:pPr>
      <w:spacing w:before="240" w:after="60"/>
    </w:pPr>
    <w:rPr>
      <w:rFonts w:ascii="Times New Roman" w:hAnsi="Times New Roman"/>
      <w:b/>
      <w:sz w:val="28"/>
    </w:rPr>
  </w:style>
  <w:style w:type="character" w:customStyle="1" w:styleId="Underline">
    <w:name w:val="Underline"/>
    <w:basedOn w:val="DefaultParagraphFont"/>
    <w:qFormat/>
    <w:rsid w:val="00EA1282"/>
    <w:rPr>
      <w:u w:val="single"/>
    </w:rPr>
  </w:style>
  <w:style w:type="character" w:customStyle="1" w:styleId="BoldandItalics">
    <w:name w:val="Bold and Italics"/>
    <w:qFormat/>
    <w:rsid w:val="00EA1282"/>
    <w:rPr>
      <w:b/>
      <w:i/>
      <w:u w:val="none"/>
    </w:rPr>
  </w:style>
  <w:style w:type="paragraph" w:styleId="BalloonText">
    <w:name w:val="Balloon Text"/>
    <w:basedOn w:val="Normal"/>
    <w:link w:val="BalloonTextChar"/>
    <w:rsid w:val="00EA1282"/>
    <w:rPr>
      <w:rFonts w:ascii="Tahoma" w:hAnsi="Tahoma" w:cs="Tahoma"/>
      <w:sz w:val="16"/>
      <w:szCs w:val="16"/>
    </w:rPr>
  </w:style>
  <w:style w:type="character" w:customStyle="1" w:styleId="BalloonTextChar">
    <w:name w:val="Balloon Text Char"/>
    <w:basedOn w:val="DefaultParagraphFont"/>
    <w:link w:val="BalloonText"/>
    <w:rsid w:val="00EA12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12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12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1282"/>
    <w:rPr>
      <w:b/>
      <w:color w:val="660033"/>
      <w:spacing w:val="0"/>
    </w:rPr>
  </w:style>
  <w:style w:type="paragraph" w:customStyle="1" w:styleId="Nameditemlist">
    <w:name w:val="Named item list"/>
    <w:basedOn w:val="BodyText"/>
    <w:qFormat/>
    <w:rsid w:val="00EA1282"/>
    <w:pPr>
      <w:tabs>
        <w:tab w:val="left" w:pos="2835"/>
      </w:tabs>
      <w:ind w:left="2835" w:hanging="2835"/>
    </w:pPr>
  </w:style>
  <w:style w:type="paragraph" w:customStyle="1" w:styleId="BodyTextnopadding">
    <w:name w:val="Body Text no padding"/>
    <w:basedOn w:val="BodyText"/>
    <w:qFormat/>
    <w:rsid w:val="00EA1282"/>
    <w:pPr>
      <w:spacing w:before="0" w:after="0"/>
    </w:pPr>
  </w:style>
  <w:style w:type="paragraph" w:customStyle="1" w:styleId="BodyTextBold">
    <w:name w:val="Body Text Bold"/>
    <w:basedOn w:val="BodyText"/>
    <w:qFormat/>
    <w:rsid w:val="00EA1282"/>
    <w:rPr>
      <w:b/>
    </w:rPr>
  </w:style>
  <w:style w:type="character" w:styleId="Hyperlink">
    <w:name w:val="Hyperlink"/>
    <w:basedOn w:val="DefaultParagraphFont"/>
    <w:uiPriority w:val="99"/>
    <w:unhideWhenUsed/>
    <w:rsid w:val="006702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2117</Words>
  <Characters>13404</Characters>
  <Application>Microsoft Office Word</Application>
  <DocSecurity>0</DocSecurity>
  <Lines>432</Lines>
  <Paragraphs>258</Paragraphs>
  <ScaleCrop>false</ScaleCrop>
  <Company>Author-it Software Corporation Ltd.</Company>
  <LinksUpToDate>false</LinksUpToDate>
  <CharactersWithSpaces>15263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MSL975015 Prepare animal and plant material for display</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2025-03-01T15:26:00Z</dcterms:created>
  <dcterms:modified xsi:type="dcterms:W3CDTF">2025-03-01T15:26:00Z</dcterms:modified>
</cp:coreProperties>
</file>