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DF8" w:rsidP="00107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MSL975015 Prepare animal and plant material for display</w:t>
      </w:r>
      <w:r>
        <w:fldChar w:fldCharType="end"/>
      </w:r>
    </w:p>
    <w:p w:rsidR="00107DF8" w:rsidP="00107DF8">
      <w:pPr>
        <w:pStyle w:val="Version"/>
        <w:sectPr w:rsidSect="000D2C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C74" w:rsidP="000D2C74">
      <w:pPr>
        <w:pStyle w:val="SuperHeading"/>
      </w:pPr>
      <w:r w:rsidRPr="000D2C74">
        <w:t>Assessment Requirements for MSL975015 Prepare animal and plant material for display</w:t>
      </w:r>
    </w:p>
    <w:p w:rsidR="00000000" w:rsidRPr="000D2C74" w:rsidP="000D2C74">
      <w:pPr>
        <w:pStyle w:val="Heading1"/>
      </w:pPr>
      <w:bookmarkStart w:id="1" w:name="O_901815"/>
      <w:bookmarkEnd w:id="1"/>
      <w:r w:rsidRPr="000D2C74">
        <w:t>Modification History</w:t>
      </w:r>
    </w:p>
    <w:p w:rsidR="00000000" w:rsidRPr="000D2C74" w:rsidP="000D2C74">
      <w:pPr>
        <w:pStyle w:val="BodyText"/>
      </w:pPr>
      <w:r w:rsidRPr="000D2C74">
        <w:t>Release 1. Supersedes and is equivalent to MSL975015A Prepare animal and plant material for display</w:t>
      </w:r>
    </w:p>
    <w:p w:rsidR="00000000" w:rsidRPr="000D2C74" w:rsidP="000D2C74">
      <w:pPr>
        <w:pStyle w:val="AllowPageBreak"/>
      </w:pPr>
    </w:p>
    <w:p w:rsidR="00000000" w:rsidRPr="000D2C74" w:rsidP="000D2C74">
      <w:pPr>
        <w:pStyle w:val="Heading1"/>
      </w:pPr>
      <w:bookmarkStart w:id="2" w:name="O_901818"/>
      <w:bookmarkEnd w:id="2"/>
      <w:r w:rsidRPr="000D2C74">
        <w:t>Performance Evidence</w:t>
      </w:r>
    </w:p>
    <w:p w:rsidR="00000000" w:rsidRPr="000D2C74" w:rsidP="000D2C74">
      <w:pPr>
        <w:pStyle w:val="BodyText"/>
      </w:pPr>
      <w:r w:rsidRPr="000D2C74">
        <w:t>Evidence of competence in this unit must satisfy all of the requirements of the elements and performance criteria, and include demonstration of:</w:t>
      </w:r>
    </w:p>
    <w:p w:rsidR="00000000" w:rsidRPr="000D2C74" w:rsidP="000D2C74">
      <w:pPr>
        <w:pStyle w:val="ListBullet"/>
      </w:pPr>
      <w:r w:rsidRPr="000D2C74">
        <w:t>safely collecting and preserving five (5) different examples of animal and plant material</w:t>
      </w:r>
      <w:r w:rsidRPr="000D2C74">
        <w:t xml:space="preserve"> for display</w:t>
      </w:r>
    </w:p>
    <w:p w:rsidR="00000000" w:rsidRPr="000D2C74" w:rsidP="000D2C74">
      <w:pPr>
        <w:pStyle w:val="ListBullet"/>
      </w:pPr>
      <w:r w:rsidRPr="000D2C74">
        <w:t>assisting clients to clarify their display requirements</w:t>
      </w:r>
    </w:p>
    <w:p w:rsidR="00000000" w:rsidRPr="000D2C74" w:rsidP="000D2C74">
      <w:pPr>
        <w:pStyle w:val="ListBullet"/>
      </w:pPr>
      <w:r w:rsidRPr="000D2C74">
        <w:t>selecting appropriate collection, preservation and display techniques to suit particular display requirements</w:t>
      </w:r>
    </w:p>
    <w:p w:rsidR="00000000" w:rsidRPr="000D2C74" w:rsidP="000D2C74">
      <w:pPr>
        <w:pStyle w:val="ListBullet"/>
      </w:pPr>
      <w:r w:rsidRPr="000D2C74">
        <w:t>recognising, identifying and collecting suitable animal and plant specimens</w:t>
      </w:r>
    </w:p>
    <w:p w:rsidR="00000000" w:rsidRPr="000D2C74" w:rsidP="000D2C74">
      <w:pPr>
        <w:pStyle w:val="ListBullet"/>
      </w:pPr>
      <w:r w:rsidRPr="000D2C74">
        <w:t>s</w:t>
      </w:r>
      <w:r w:rsidRPr="000D2C74">
        <w:t>toring and transporting specimens safely while maintaining their wellbeing, viability and/or integrity, as appropriate</w:t>
      </w:r>
    </w:p>
    <w:p w:rsidR="00000000" w:rsidRPr="000D2C74" w:rsidP="000D2C74">
      <w:pPr>
        <w:pStyle w:val="ListBullet"/>
      </w:pPr>
      <w:r w:rsidRPr="000D2C74">
        <w:t>preserving and preparing animal and plant specimens for a range of display purposes</w:t>
      </w:r>
    </w:p>
    <w:p w:rsidR="00000000" w:rsidRPr="000D2C74" w:rsidP="000D2C74">
      <w:pPr>
        <w:pStyle w:val="ListBullet"/>
      </w:pPr>
      <w:r w:rsidRPr="000D2C74">
        <w:t>assembling and conserving the display items</w:t>
      </w:r>
    </w:p>
    <w:p w:rsidR="00000000" w:rsidRPr="000D2C74" w:rsidP="000D2C74">
      <w:pPr>
        <w:pStyle w:val="ListBullet"/>
      </w:pPr>
      <w:r w:rsidRPr="000D2C74">
        <w:t>preparing</w:t>
      </w:r>
      <w:r w:rsidRPr="000D2C74">
        <w:t xml:space="preserve"> displays that meet client and security requirements </w:t>
      </w:r>
    </w:p>
    <w:p w:rsidR="00000000" w:rsidRPr="000D2C74" w:rsidP="000D2C74">
      <w:pPr>
        <w:pStyle w:val="ListBullet"/>
      </w:pPr>
      <w:r w:rsidRPr="000D2C74">
        <w:t>complying with all legislative, regulatory and workplace requirements</w:t>
      </w:r>
    </w:p>
    <w:p w:rsidR="00000000" w:rsidRPr="000D2C74" w:rsidP="000D2C74">
      <w:pPr>
        <w:pStyle w:val="ListBullet"/>
      </w:pPr>
      <w:r w:rsidRPr="000D2C74">
        <w:t>keeping records to provide chain of custody of specimens and samples through collection, storage, preservation and display</w:t>
      </w:r>
    </w:p>
    <w:p w:rsidR="00000000" w:rsidRPr="000D2C74" w:rsidP="000D2C74">
      <w:pPr>
        <w:pStyle w:val="ListBullet"/>
      </w:pPr>
      <w:r w:rsidRPr="000D2C74">
        <w:t>following</w:t>
      </w:r>
      <w:r w:rsidRPr="000D2C74">
        <w:t xml:space="preserve"> workplace safety procedures.</w:t>
      </w:r>
    </w:p>
    <w:p w:rsidR="00000000" w:rsidRPr="000D2C74" w:rsidP="000D2C74">
      <w:pPr>
        <w:pStyle w:val="AllowPageBreak"/>
      </w:pPr>
    </w:p>
    <w:p w:rsidR="00000000" w:rsidRPr="000D2C74" w:rsidP="000D2C74">
      <w:pPr>
        <w:pStyle w:val="Heading1"/>
      </w:pPr>
      <w:bookmarkStart w:id="3" w:name="O_901817"/>
      <w:bookmarkEnd w:id="3"/>
      <w:r w:rsidRPr="000D2C74">
        <w:t>Knowledge Evidence</w:t>
      </w:r>
    </w:p>
    <w:p w:rsidR="00000000" w:rsidRPr="000D2C74" w:rsidP="000D2C74">
      <w:pPr>
        <w:pStyle w:val="BodyText"/>
      </w:pPr>
      <w:r w:rsidRPr="000D2C74">
        <w:t>Must provide evidence that demonstrates knowledge of:</w:t>
      </w:r>
    </w:p>
    <w:p w:rsidR="00000000" w:rsidRPr="000D2C74" w:rsidP="000D2C74">
      <w:pPr>
        <w:pStyle w:val="ListBullet"/>
      </w:pPr>
      <w:r w:rsidRPr="000D2C74">
        <w:t>classification/taxonomy/flora and fauna recognition and identification methods</w:t>
      </w:r>
    </w:p>
    <w:p w:rsidR="00000000" w:rsidRPr="000D2C74" w:rsidP="000D2C74">
      <w:pPr>
        <w:pStyle w:val="ListBullet"/>
      </w:pPr>
      <w:r w:rsidRPr="000D2C74">
        <w:t>legislative limitations on collection of flora and fauna</w:t>
      </w:r>
    </w:p>
    <w:p w:rsidR="00000000" w:rsidRPr="000D2C74" w:rsidP="000D2C74">
      <w:pPr>
        <w:pStyle w:val="ListBullet"/>
      </w:pPr>
      <w:r w:rsidRPr="000D2C74">
        <w:t>specimen preparation methods relevant to job role, such as fixation and preservation techniques, and preparation of skeletal material</w:t>
      </w:r>
    </w:p>
    <w:p w:rsidR="00000000" w:rsidRPr="000D2C74" w:rsidP="000D2C74">
      <w:pPr>
        <w:pStyle w:val="ListBullet"/>
      </w:pPr>
      <w:r w:rsidRPr="000D2C74">
        <w:t>workplace processes and procedures for creation of displays relevant to job role</w:t>
      </w:r>
    </w:p>
    <w:p w:rsidR="00000000" w:rsidRPr="000D2C74" w:rsidP="000D2C74">
      <w:pPr>
        <w:pStyle w:val="ListBullet"/>
      </w:pPr>
      <w:r w:rsidRPr="000D2C74">
        <w:t>relevant hazards, work health and safety</w:t>
      </w:r>
      <w:r w:rsidRPr="000D2C74">
        <w:t xml:space="preserve"> (WHS) and environment requirements.</w:t>
      </w:r>
    </w:p>
    <w:p w:rsidR="00000000" w:rsidRPr="000D2C74" w:rsidP="000D2C74">
      <w:pPr>
        <w:pStyle w:val="AllowPageBreak"/>
      </w:pPr>
    </w:p>
    <w:p w:rsidR="00000000" w:rsidRPr="000D2C74" w:rsidP="000D2C74">
      <w:pPr>
        <w:pStyle w:val="Heading1"/>
      </w:pPr>
      <w:bookmarkStart w:id="4" w:name="O_901816"/>
      <w:bookmarkEnd w:id="4"/>
      <w:r w:rsidRPr="000D2C74">
        <w:t>Assessment Conditions</w:t>
      </w:r>
    </w:p>
    <w:p w:rsidR="00000000" w:rsidRPr="000D2C74" w:rsidP="000D2C74">
      <w:pPr>
        <w:pStyle w:val="ListBullet"/>
      </w:pPr>
      <w:r w:rsidRPr="000D2C74">
        <w:t xml:space="preserve">Judgment of competence must be based on holistic assessment of the evidence. Assessment methods must confirm consistency of performance over time, rather than a single assessment </w:t>
      </w:r>
      <w:r w:rsidRPr="000D2C74">
        <w:t xml:space="preserve">event. </w:t>
      </w:r>
    </w:p>
    <w:p w:rsidR="00000000" w:rsidRPr="000D2C74" w:rsidP="000D2C74">
      <w:pPr>
        <w:pStyle w:val="ListBullet"/>
      </w:pPr>
      <w:r w:rsidRPr="000D2C74">
        <w:t>This unit of competency is to be assessed in the workplace or a simulated workplace environment. A simulated workplace environment must reflect realistic operational workplace conditions that cover all aspects of workplace performance, including th</w:t>
      </w:r>
      <w:r w:rsidRPr="000D2C74">
        <w:t xml:space="preserve">e environment, task skills, task management skills, contingency management skills and job role environment skills.  </w:t>
      </w:r>
    </w:p>
    <w:p w:rsidR="00000000" w:rsidRPr="000D2C74" w:rsidP="000D2C74">
      <w:pPr>
        <w:pStyle w:val="ListBullet"/>
      </w:pPr>
      <w:r w:rsidRPr="000D2C74">
        <w:t xml:space="preserve">Foundation skills are integral to competent performance of the unit and should not be assessed separately. </w:t>
      </w:r>
    </w:p>
    <w:p w:rsidR="00000000" w:rsidRPr="000D2C74" w:rsidP="000D2C74">
      <w:pPr>
        <w:pStyle w:val="ListBullet"/>
      </w:pPr>
      <w:r w:rsidRPr="000D2C74">
        <w:t>Assessment processes and techni</w:t>
      </w:r>
      <w:r w:rsidRPr="000D2C74">
        <w:t>ques must be appropriate to the language, literacy and numeracy requirements of the work being performed and the needs of the candidate.</w:t>
      </w:r>
    </w:p>
    <w:p w:rsidR="00000000" w:rsidRPr="000D2C74" w:rsidP="000D2C74">
      <w:pPr>
        <w:pStyle w:val="ListBullet"/>
      </w:pPr>
      <w:r w:rsidRPr="000D2C74">
        <w:t>Knowledge evidence may be collected concurrently with performance evidence or through an independent process, such as w</w:t>
      </w:r>
      <w:r w:rsidRPr="000D2C74">
        <w:t>orkbooks, written assessments or interviews (provided a record is kept in each case).</w:t>
      </w:r>
    </w:p>
    <w:p w:rsidR="00000000" w:rsidRPr="000D2C74" w:rsidP="000D2C74">
      <w:pPr>
        <w:pStyle w:val="ListBullet"/>
      </w:pPr>
      <w:r w:rsidRPr="000D2C74">
        <w:t xml:space="preserve">This unit of competency may be assessed with: </w:t>
      </w:r>
    </w:p>
    <w:p w:rsidR="00000000" w:rsidRPr="000D2C74" w:rsidP="000D2C74">
      <w:pPr>
        <w:pStyle w:val="ListBullet2"/>
      </w:pPr>
      <w:r w:rsidRPr="000D2C74">
        <w:t>MSL975017 Perform laboratory-based ecological techniques</w:t>
      </w:r>
    </w:p>
    <w:p w:rsidR="00000000" w:rsidRPr="000D2C74" w:rsidP="000D2C74">
      <w:pPr>
        <w:pStyle w:val="ListBullet"/>
      </w:pPr>
      <w:r w:rsidRPr="000D2C74">
        <w:t>Holistic assessment methods include:</w:t>
      </w:r>
    </w:p>
    <w:p w:rsidR="00000000" w:rsidRPr="000D2C74" w:rsidP="000D2C74">
      <w:pPr>
        <w:pStyle w:val="ListBullet2"/>
      </w:pPr>
      <w:r w:rsidRPr="000D2C74">
        <w:t>review of display plans prepared by the candidate (or as part of a team)</w:t>
      </w:r>
    </w:p>
    <w:p w:rsidR="00000000" w:rsidRPr="000D2C74" w:rsidP="000D2C74">
      <w:pPr>
        <w:pStyle w:val="ListBullet2"/>
      </w:pPr>
      <w:r w:rsidRPr="000D2C74">
        <w:t>examination of animal and plant displays prepared by the candidate</w:t>
      </w:r>
    </w:p>
    <w:p w:rsidR="00000000" w:rsidRPr="000D2C74" w:rsidP="000D2C74">
      <w:pPr>
        <w:pStyle w:val="ListBullet2"/>
      </w:pPr>
      <w:r w:rsidRPr="000D2C74">
        <w:t>observation of the candidate collecting, preserving and mounting specimens</w:t>
      </w:r>
    </w:p>
    <w:p w:rsidR="00000000" w:rsidRPr="000D2C74" w:rsidP="000D2C74">
      <w:pPr>
        <w:pStyle w:val="ListBullet2"/>
      </w:pPr>
      <w:r w:rsidRPr="000D2C74">
        <w:t>oral and written tests to assess required</w:t>
      </w:r>
      <w:r w:rsidRPr="000D2C74">
        <w:t xml:space="preserve"> knowledge of legislative, regulatory and workplace requirements and techniques for preparing animal and plant material for display.</w:t>
      </w:r>
    </w:p>
    <w:p w:rsidR="00000000" w:rsidRPr="000D2C74" w:rsidP="000D2C74">
      <w:pPr>
        <w:pStyle w:val="ListBullet"/>
      </w:pPr>
      <w:r w:rsidRPr="000D2C74">
        <w:t>Access is required to instruments, equipment, materials, workplace documentation, procedures and specifications associated</w:t>
      </w:r>
      <w:r w:rsidRPr="000D2C74">
        <w:t xml:space="preserve"> with this unit, including, but not limited to:</w:t>
      </w:r>
    </w:p>
    <w:p w:rsidR="00000000" w:rsidRPr="000D2C74" w:rsidP="000D2C74">
      <w:pPr>
        <w:pStyle w:val="ListBullet2"/>
      </w:pPr>
      <w:r w:rsidRPr="000D2C74">
        <w:t>a standard laboratory equipped with equipment and reagents</w:t>
      </w:r>
    </w:p>
    <w:p w:rsidR="00000000" w:rsidRPr="000D2C74" w:rsidP="000D2C74">
      <w:pPr>
        <w:pStyle w:val="ListBullet2"/>
      </w:pPr>
      <w:r w:rsidRPr="000D2C74">
        <w:t>workplace procedures for the collection, storage, preservation, mounting and documentation of specimens and preparation of displays.</w:t>
      </w:r>
    </w:p>
    <w:p w:rsidR="00000000" w:rsidRPr="000D2C74" w:rsidP="000D2C74">
      <w:pPr>
        <w:pStyle w:val="ListBullet"/>
      </w:pPr>
      <w:r w:rsidRPr="000D2C74">
        <w:t>Assessors must</w:t>
      </w:r>
      <w:r w:rsidRPr="000D2C74">
        <w:t xml:space="preserve"> satisfy the assessor competency requirements that are in place at the time of the assessment as set by the VET regulator.  </w:t>
      </w:r>
    </w:p>
    <w:p w:rsidR="00000000" w:rsidRPr="000D2C74" w:rsidP="000D2C74">
      <w:pPr>
        <w:pStyle w:val="ListBullet"/>
      </w:pPr>
      <w:r w:rsidRPr="000D2C74">
        <w:t>The assessor must demonstrate both technical competence and currency.</w:t>
      </w:r>
    </w:p>
    <w:p w:rsidR="00000000" w:rsidRPr="000D2C74" w:rsidP="000D2C74">
      <w:pPr>
        <w:pStyle w:val="ListBullet"/>
      </w:pPr>
      <w:r w:rsidRPr="000D2C74">
        <w:t>Technical competence can be demonstrated through:</w:t>
      </w:r>
    </w:p>
    <w:p w:rsidR="00000000" w:rsidRPr="000D2C74" w:rsidP="000D2C74">
      <w:pPr>
        <w:pStyle w:val="ListBullet2"/>
      </w:pPr>
      <w:r w:rsidRPr="000D2C74">
        <w:t>relevant V</w:t>
      </w:r>
      <w:r w:rsidRPr="000D2C74">
        <w:t>ET or other qualification/Statement of Attainment AND/OR</w:t>
      </w:r>
    </w:p>
    <w:p w:rsidR="00000000" w:rsidRPr="000D2C74" w:rsidP="000D2C74">
      <w:pPr>
        <w:pStyle w:val="ListBullet2"/>
      </w:pPr>
      <w:r w:rsidRPr="000D2C74">
        <w:t>relevant workplace experience.</w:t>
      </w:r>
    </w:p>
    <w:p w:rsidR="00000000" w:rsidRPr="000D2C74" w:rsidP="000D2C74">
      <w:pPr>
        <w:pStyle w:val="ListBullet"/>
      </w:pPr>
      <w:r w:rsidRPr="000D2C74">
        <w:t>Currency can be demonstrated through:</w:t>
      </w:r>
    </w:p>
    <w:p w:rsidR="00000000" w:rsidRPr="000D2C74" w:rsidP="000D2C74">
      <w:pPr>
        <w:pStyle w:val="ListBullet2"/>
      </w:pPr>
      <w:r w:rsidRPr="000D2C74">
        <w:t>performing the competency being assessed as part of current employment OR</w:t>
      </w:r>
    </w:p>
    <w:p w:rsidR="00000000" w:rsidRPr="000D2C74" w:rsidP="000D2C74">
      <w:pPr>
        <w:pStyle w:val="ListBullet2"/>
      </w:pPr>
      <w:r w:rsidRPr="000D2C74">
        <w:t>having consulted with a laboratory about performing the competency being assessed within the last twelve months.</w:t>
      </w:r>
    </w:p>
    <w:p w:rsidR="00000000" w:rsidRPr="000D2C74" w:rsidP="000D2C74">
      <w:pPr>
        <w:pStyle w:val="AllowPageBreak"/>
      </w:pPr>
    </w:p>
    <w:p w:rsidR="00000000" w:rsidRPr="000D2C74" w:rsidP="000D2C74">
      <w:pPr>
        <w:pStyle w:val="Heading1"/>
      </w:pPr>
      <w:bookmarkStart w:id="5" w:name="O_901814"/>
      <w:bookmarkEnd w:id="5"/>
      <w:r w:rsidRPr="000D2C74">
        <w:t>Links</w:t>
      </w:r>
    </w:p>
    <w:p w:rsidR="00000000" w:rsidRPr="000D2C74" w:rsidP="000D2C74">
      <w:pPr>
        <w:pStyle w:val="BodyText"/>
      </w:pPr>
      <w:r w:rsidRPr="000D2C74">
        <w:t>MSA Training Package Implementation Guides - http://mskills.org.au/training-packages/info/</w:t>
      </w:r>
    </w:p>
    <w:p w:rsidR="00000000" w:rsidRPr="000D2C74" w:rsidP="000D2C74"/>
    <w:sectPr w:rsidSect="000D2C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74" w:rsidRPr="00107DF8" w:rsidP="00107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DF8" w:rsidP="000D2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7DF8" w:rsidP="000D2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07DF8" w:rsidP="000D2C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74" w:rsidRPr="00107DF8" w:rsidP="00107D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DF8" w:rsidRPr="002D2AF8" w:rsidP="000D2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MSL975015 Prepare animal and plant material for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107DF8" w:rsidP="000D2C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8C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2EE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EE88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C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C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C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C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C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C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C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C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C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C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C74"/>
  </w:style>
  <w:style w:type="character" w:customStyle="1" w:styleId="Heading1Char">
    <w:name w:val="Heading 1 Char"/>
    <w:basedOn w:val="DefaultParagraphFont"/>
    <w:link w:val="Heading1"/>
    <w:rsid w:val="000D2C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C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C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C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2C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C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C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C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C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C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C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C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C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C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C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C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C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C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C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C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C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C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C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2C74"/>
    <w:rPr>
      <w:b/>
      <w:spacing w:val="0"/>
    </w:rPr>
  </w:style>
  <w:style w:type="paragraph" w:customStyle="1" w:styleId="SuperTitle">
    <w:name w:val="SuperTitle"/>
    <w:basedOn w:val="Title"/>
    <w:rsid w:val="000D2C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C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C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C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C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C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C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C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C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C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C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C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C74"/>
    <w:rPr>
      <w:i/>
    </w:rPr>
  </w:style>
  <w:style w:type="paragraph" w:styleId="Caption">
    <w:name w:val="caption"/>
    <w:basedOn w:val="BodyText"/>
    <w:next w:val="Normal"/>
    <w:qFormat/>
    <w:rsid w:val="000D2C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C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C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C74"/>
  </w:style>
  <w:style w:type="paragraph" w:styleId="TableofFigures">
    <w:name w:val="table of figures"/>
    <w:basedOn w:val="Normal"/>
    <w:next w:val="Normal"/>
    <w:semiHidden/>
    <w:rsid w:val="000D2C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C74"/>
    <w:pPr>
      <w:numPr>
        <w:numId w:val="11"/>
      </w:numPr>
    </w:pPr>
  </w:style>
  <w:style w:type="character" w:customStyle="1" w:styleId="WingdingSymbols">
    <w:name w:val="Wingding Symbols"/>
    <w:rsid w:val="000D2C74"/>
    <w:rPr>
      <w:rFonts w:ascii="Wingdings" w:hAnsi="Wingdings"/>
    </w:rPr>
  </w:style>
  <w:style w:type="paragraph" w:customStyle="1" w:styleId="TableHeading">
    <w:name w:val="Table Heading"/>
    <w:basedOn w:val="HeadingBase"/>
    <w:rsid w:val="000D2C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C74"/>
    <w:rPr>
      <w:color w:val="0033CC"/>
      <w:u w:val="none"/>
    </w:rPr>
  </w:style>
  <w:style w:type="paragraph" w:customStyle="1" w:styleId="BodyTextRight">
    <w:name w:val="Body Text Right"/>
    <w:basedOn w:val="BodyText"/>
    <w:rsid w:val="000D2C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C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C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C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C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C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C74"/>
    <w:rPr>
      <w:sz w:val="32"/>
    </w:rPr>
  </w:style>
  <w:style w:type="paragraph" w:customStyle="1" w:styleId="HeadingProcedure">
    <w:name w:val="Heading Procedure"/>
    <w:basedOn w:val="HeadingBase"/>
    <w:next w:val="Normal"/>
    <w:rsid w:val="000D2C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C74"/>
    <w:pPr>
      <w:spacing w:before="60" w:after="60"/>
    </w:pPr>
  </w:style>
  <w:style w:type="paragraph" w:styleId="ListContinue">
    <w:name w:val="List Continue"/>
    <w:basedOn w:val="List"/>
    <w:rsid w:val="000D2C74"/>
    <w:pPr>
      <w:ind w:firstLine="0"/>
    </w:pPr>
  </w:style>
  <w:style w:type="paragraph" w:customStyle="1" w:styleId="ListNote">
    <w:name w:val="List Note"/>
    <w:basedOn w:val="List"/>
    <w:rsid w:val="000D2C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C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C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C74"/>
    <w:rPr>
      <w:rFonts w:ascii="Courier New" w:hAnsi="Courier New"/>
    </w:rPr>
  </w:style>
  <w:style w:type="paragraph" w:customStyle="1" w:styleId="NoteBullet">
    <w:name w:val="Note Bullet"/>
    <w:basedOn w:val="Note"/>
    <w:rsid w:val="000D2C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C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C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C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C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2C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C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C74"/>
    <w:rPr>
      <w:b/>
      <w:smallCaps/>
    </w:rPr>
  </w:style>
  <w:style w:type="paragraph" w:customStyle="1" w:styleId="TableListNumber">
    <w:name w:val="Table List Number"/>
    <w:basedOn w:val="ListNumber"/>
    <w:rsid w:val="000D2C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C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C74"/>
    <w:pPr>
      <w:numPr>
        <w:numId w:val="9"/>
      </w:numPr>
    </w:pPr>
  </w:style>
  <w:style w:type="paragraph" w:customStyle="1" w:styleId="ListAlpha2">
    <w:name w:val="List Alpha 2"/>
    <w:basedOn w:val="List2"/>
    <w:rsid w:val="000D2C74"/>
    <w:pPr>
      <w:numPr>
        <w:numId w:val="8"/>
      </w:numPr>
    </w:pPr>
  </w:style>
  <w:style w:type="paragraph" w:styleId="List2">
    <w:name w:val="List 2"/>
    <w:basedOn w:val="BodyText"/>
    <w:rsid w:val="000D2C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C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C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C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C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C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C74"/>
    <w:pPr>
      <w:numPr>
        <w:numId w:val="4"/>
      </w:numPr>
    </w:pPr>
  </w:style>
  <w:style w:type="paragraph" w:styleId="ListContinue2">
    <w:name w:val="List Continue 2"/>
    <w:basedOn w:val="List2"/>
    <w:rsid w:val="000D2C74"/>
    <w:pPr>
      <w:ind w:firstLine="0"/>
    </w:pPr>
  </w:style>
  <w:style w:type="paragraph" w:styleId="ListContinue3">
    <w:name w:val="List Continue 3"/>
    <w:basedOn w:val="List3"/>
    <w:rsid w:val="000D2C74"/>
    <w:pPr>
      <w:ind w:left="1021" w:firstLine="0"/>
    </w:pPr>
  </w:style>
  <w:style w:type="paragraph" w:styleId="ListContinue4">
    <w:name w:val="List Continue 4"/>
    <w:basedOn w:val="List4"/>
    <w:rsid w:val="000D2C74"/>
    <w:pPr>
      <w:ind w:firstLine="0"/>
    </w:pPr>
  </w:style>
  <w:style w:type="paragraph" w:styleId="ListContinue5">
    <w:name w:val="List Continue 5"/>
    <w:basedOn w:val="List5"/>
    <w:rsid w:val="000D2C74"/>
    <w:pPr>
      <w:ind w:firstLine="0"/>
    </w:pPr>
  </w:style>
  <w:style w:type="paragraph" w:styleId="ListNumber3">
    <w:name w:val="List Number 3"/>
    <w:basedOn w:val="List3"/>
    <w:rsid w:val="000D2C74"/>
    <w:pPr>
      <w:numPr>
        <w:numId w:val="5"/>
      </w:numPr>
    </w:pPr>
  </w:style>
  <w:style w:type="paragraph" w:styleId="ListNumber4">
    <w:name w:val="List Number 4"/>
    <w:basedOn w:val="List4"/>
    <w:rsid w:val="000D2C74"/>
    <w:pPr>
      <w:numPr>
        <w:numId w:val="6"/>
      </w:numPr>
    </w:pPr>
  </w:style>
  <w:style w:type="paragraph" w:styleId="ListNumber5">
    <w:name w:val="List Number 5"/>
    <w:basedOn w:val="List5"/>
    <w:rsid w:val="000D2C74"/>
    <w:pPr>
      <w:numPr>
        <w:numId w:val="7"/>
      </w:numPr>
    </w:pPr>
  </w:style>
  <w:style w:type="paragraph" w:styleId="BlockText">
    <w:name w:val="Block Text"/>
    <w:basedOn w:val="Normal"/>
    <w:rsid w:val="000D2C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C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C74"/>
    <w:rPr>
      <w:sz w:val="16"/>
      <w:vertAlign w:val="superscript"/>
    </w:rPr>
  </w:style>
  <w:style w:type="character" w:customStyle="1" w:styleId="Symbols">
    <w:name w:val="Symbols"/>
    <w:basedOn w:val="DefaultParagraphFont"/>
    <w:rsid w:val="000D2C74"/>
    <w:rPr>
      <w:rFonts w:ascii="Symbol" w:hAnsi="Symbol"/>
    </w:rPr>
  </w:style>
  <w:style w:type="character" w:customStyle="1" w:styleId="MenuOptions">
    <w:name w:val="Menu Options"/>
    <w:basedOn w:val="DefaultParagraphFont"/>
    <w:rsid w:val="000D2C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C74"/>
    <w:rPr>
      <w:b/>
    </w:rPr>
  </w:style>
  <w:style w:type="character" w:customStyle="1" w:styleId="Underlined">
    <w:name w:val="Underlined"/>
    <w:basedOn w:val="DefaultParagraphFont"/>
    <w:rsid w:val="000D2C74"/>
    <w:rPr>
      <w:u w:val="single"/>
    </w:rPr>
  </w:style>
  <w:style w:type="paragraph" w:customStyle="1" w:styleId="TableBodyTextRight">
    <w:name w:val="Table Body Text Right"/>
    <w:basedOn w:val="TableBodyText"/>
    <w:rsid w:val="000D2C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C74"/>
    <w:rPr>
      <w:sz w:val="18"/>
    </w:rPr>
  </w:style>
  <w:style w:type="paragraph" w:customStyle="1" w:styleId="BodySmallRight">
    <w:name w:val="Body Small Right"/>
    <w:basedOn w:val="BodyTextRight"/>
    <w:rsid w:val="000D2C74"/>
    <w:rPr>
      <w:sz w:val="18"/>
      <w:szCs w:val="18"/>
    </w:rPr>
  </w:style>
  <w:style w:type="paragraph" w:customStyle="1" w:styleId="MarginEdition">
    <w:name w:val="Margin Edition"/>
    <w:basedOn w:val="MarginNote"/>
    <w:rsid w:val="000D2C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C74"/>
    <w:rPr>
      <w:sz w:val="2"/>
      <w:szCs w:val="2"/>
    </w:rPr>
  </w:style>
  <w:style w:type="character" w:customStyle="1" w:styleId="Small">
    <w:name w:val="Small"/>
    <w:basedOn w:val="DefaultParagraphFont"/>
    <w:rsid w:val="000D2C74"/>
    <w:rPr>
      <w:sz w:val="16"/>
    </w:rPr>
  </w:style>
  <w:style w:type="paragraph" w:customStyle="1" w:styleId="WideTable">
    <w:name w:val="Wide Table"/>
    <w:basedOn w:val="Normal"/>
    <w:rsid w:val="000D2C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C74"/>
  </w:style>
  <w:style w:type="paragraph" w:styleId="Quote">
    <w:name w:val="Quote"/>
    <w:basedOn w:val="Heading1"/>
    <w:link w:val="QuoteChar"/>
    <w:qFormat/>
    <w:rsid w:val="000D2C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C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C74"/>
    <w:pPr>
      <w:pageBreakBefore/>
    </w:pPr>
  </w:style>
  <w:style w:type="paragraph" w:customStyle="1" w:styleId="Border">
    <w:name w:val="Border"/>
    <w:basedOn w:val="Normal"/>
    <w:qFormat/>
    <w:rsid w:val="000D2C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C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C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C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C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C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C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C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C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C74"/>
    <w:rPr>
      <w:u w:val="single"/>
    </w:rPr>
  </w:style>
  <w:style w:type="character" w:customStyle="1" w:styleId="BoldandItalics">
    <w:name w:val="Bold and Italics"/>
    <w:qFormat/>
    <w:rsid w:val="000D2C74"/>
    <w:rPr>
      <w:b/>
      <w:i/>
      <w:u w:val="none"/>
    </w:rPr>
  </w:style>
  <w:style w:type="paragraph" w:styleId="BalloonText">
    <w:name w:val="Balloon Text"/>
    <w:basedOn w:val="Normal"/>
    <w:link w:val="BalloonTextChar"/>
    <w:rsid w:val="000D2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C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C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C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C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C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3913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MSL975015 Prepare animal and plant material for display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2016-03-01T06:25:00Z</dcterms:created>
  <dcterms:modified xsi:type="dcterms:W3CDTF">2016-03-01T06:25:00Z</dcterms:modified>
</cp:coreProperties>
</file>