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BFA" w:rsidP="007F5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MSL975014 Perform molecular biology tests and procedures</w:t>
      </w:r>
      <w:r>
        <w:fldChar w:fldCharType="end"/>
      </w:r>
    </w:p>
    <w:p w:rsidR="007F5BFA" w:rsidP="007F5BFA">
      <w:pPr>
        <w:pStyle w:val="Version"/>
        <w:sectPr w:rsidSect="00C32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6F4" w:rsidP="00C326F4">
      <w:pPr>
        <w:pStyle w:val="SuperHeading"/>
      </w:pPr>
      <w:r w:rsidRPr="00C326F4">
        <w:t>Assessment Requirements for MSL975014 Perform molecular biology tests and procedures</w:t>
      </w:r>
    </w:p>
    <w:p w:rsidR="00000000" w:rsidRPr="00C326F4" w:rsidP="00C326F4">
      <w:pPr>
        <w:pStyle w:val="Heading1"/>
      </w:pPr>
      <w:bookmarkStart w:id="1" w:name="O_901769"/>
      <w:bookmarkEnd w:id="1"/>
      <w:r w:rsidRPr="00C326F4">
        <w:t>Modification History</w:t>
      </w:r>
    </w:p>
    <w:p w:rsidR="00000000" w:rsidRPr="00C326F4" w:rsidP="00C326F4">
      <w:pPr>
        <w:pStyle w:val="BodyText"/>
      </w:pPr>
      <w:r w:rsidRPr="00C326F4">
        <w:t>Release 1. Supersedes and is equivalent to MSL975014A Perform molecular biology tests and procedures</w:t>
      </w:r>
    </w:p>
    <w:p w:rsidR="00000000" w:rsidRPr="00C326F4" w:rsidP="00C326F4">
      <w:pPr>
        <w:pStyle w:val="AllowPageBreak"/>
      </w:pPr>
    </w:p>
    <w:p w:rsidR="00000000" w:rsidRPr="00C326F4" w:rsidP="00C326F4">
      <w:pPr>
        <w:pStyle w:val="Heading1"/>
      </w:pPr>
      <w:bookmarkStart w:id="2" w:name="O_901772"/>
      <w:bookmarkEnd w:id="2"/>
      <w:r w:rsidRPr="00C326F4">
        <w:t>Performance Evidence</w:t>
      </w:r>
    </w:p>
    <w:p w:rsidR="00000000" w:rsidRPr="00C326F4" w:rsidP="00C326F4">
      <w:pPr>
        <w:pStyle w:val="BodyText"/>
      </w:pPr>
      <w:r w:rsidRPr="00C326F4">
        <w:t>Evidence of competence in this unit must satisfy all of the requirements of the elements and performance criteria, and include demonstration of:</w:t>
      </w:r>
    </w:p>
    <w:p w:rsidR="00000000" w:rsidRPr="00C326F4" w:rsidP="00C326F4">
      <w:pPr>
        <w:pStyle w:val="ListBullet"/>
      </w:pPr>
      <w:r w:rsidRPr="00C326F4">
        <w:t>applying at least five (5) molecular biology tests and procedures (including polymerase c</w:t>
      </w:r>
      <w:r w:rsidRPr="00C326F4">
        <w:t>hain reaction (PCR), ligation and restriction enzyme digestion with appropriate controls) to provide valid, reliable results</w:t>
      </w:r>
    </w:p>
    <w:p w:rsidR="00000000" w:rsidRPr="00C326F4" w:rsidP="00C326F4">
      <w:pPr>
        <w:pStyle w:val="ListBullet"/>
      </w:pPr>
      <w:r w:rsidRPr="00C326F4">
        <w:t>isolating, purifying, verifying and manipulating biomolecules and their products using small volumes and multiple-step procedures</w:t>
      </w:r>
    </w:p>
    <w:p w:rsidR="00000000" w:rsidRPr="00C326F4" w:rsidP="00C326F4">
      <w:pPr>
        <w:pStyle w:val="ListBullet"/>
      </w:pPr>
      <w:r w:rsidRPr="00C326F4">
        <w:t>i</w:t>
      </w:r>
      <w:r w:rsidRPr="00C326F4">
        <w:t>nterpreting and applying test methods consistently and accurately</w:t>
      </w:r>
    </w:p>
    <w:p w:rsidR="00000000" w:rsidRPr="00C326F4" w:rsidP="00C326F4">
      <w:pPr>
        <w:pStyle w:val="ListBullet"/>
      </w:pPr>
      <w:r w:rsidRPr="00C326F4">
        <w:t>safely operating test equipment in accordance with workplace procedures and manufacturer specifications</w:t>
      </w:r>
    </w:p>
    <w:p w:rsidR="00000000" w:rsidRPr="00C326F4" w:rsidP="00C326F4">
      <w:pPr>
        <w:pStyle w:val="ListBullet"/>
      </w:pPr>
      <w:r w:rsidRPr="00C326F4">
        <w:t>preventing and minimising DNA/RNA contamination</w:t>
      </w:r>
    </w:p>
    <w:p w:rsidR="00000000" w:rsidRPr="00C326F4" w:rsidP="00C326F4">
      <w:pPr>
        <w:pStyle w:val="ListBullet"/>
      </w:pPr>
      <w:r w:rsidRPr="00C326F4">
        <w:t>identifying atypical results as out-of</w:t>
      </w:r>
      <w:r w:rsidRPr="00C326F4">
        <w:t>-normal range or an artefact</w:t>
      </w:r>
    </w:p>
    <w:p w:rsidR="00000000" w:rsidRPr="00C326F4" w:rsidP="00C326F4">
      <w:pPr>
        <w:pStyle w:val="ListBullet"/>
      </w:pPr>
      <w:r w:rsidRPr="00C326F4">
        <w:t>tracing and sourcing obvious causes of artefacts</w:t>
      </w:r>
    </w:p>
    <w:p w:rsidR="00000000" w:rsidRPr="00C326F4" w:rsidP="00C326F4">
      <w:pPr>
        <w:pStyle w:val="ListBullet"/>
      </w:pPr>
      <w:r w:rsidRPr="00C326F4">
        <w:t xml:space="preserve">communicating identified problems to a supervisor </w:t>
      </w:r>
    </w:p>
    <w:p w:rsidR="00000000" w:rsidRPr="00C326F4" w:rsidP="00C326F4">
      <w:pPr>
        <w:pStyle w:val="ListBullet"/>
      </w:pPr>
      <w:r w:rsidRPr="00C326F4">
        <w:t>maintaining security, integrity, traceability and identity of samples, sub-samples and work records</w:t>
      </w:r>
    </w:p>
    <w:p w:rsidR="00000000" w:rsidRPr="00C326F4" w:rsidP="00C326F4">
      <w:pPr>
        <w:pStyle w:val="ListBullet"/>
      </w:pPr>
      <w:r w:rsidRPr="00C326F4">
        <w:t>conducting work practices i</w:t>
      </w:r>
      <w:r w:rsidRPr="00C326F4">
        <w:t>n an ethical and professional manner and in accordance with relevant legislation, regulation and codes of practice</w:t>
      </w:r>
    </w:p>
    <w:p w:rsidR="00000000" w:rsidRPr="00C326F4" w:rsidP="00C326F4">
      <w:pPr>
        <w:pStyle w:val="ListBullet"/>
      </w:pPr>
      <w:r w:rsidRPr="00C326F4">
        <w:t xml:space="preserve">recording and reporting results in accordance with workplace procedures </w:t>
      </w:r>
    </w:p>
    <w:p w:rsidR="00000000" w:rsidRPr="00C326F4" w:rsidP="00C326F4">
      <w:pPr>
        <w:pStyle w:val="ListBullet"/>
      </w:pPr>
      <w:r w:rsidRPr="00C326F4">
        <w:t>following workplace safety procedures.</w:t>
      </w:r>
    </w:p>
    <w:p w:rsidR="00000000" w:rsidRPr="00C326F4" w:rsidP="00C326F4">
      <w:pPr>
        <w:pStyle w:val="AllowPageBreak"/>
      </w:pPr>
    </w:p>
    <w:p w:rsidR="00000000" w:rsidRPr="00C326F4" w:rsidP="00C326F4">
      <w:pPr>
        <w:pStyle w:val="Heading1"/>
      </w:pPr>
      <w:bookmarkStart w:id="3" w:name="O_901771"/>
      <w:bookmarkEnd w:id="3"/>
      <w:r w:rsidRPr="00C326F4">
        <w:t>Knowledge Ev</w:t>
      </w:r>
      <w:r w:rsidRPr="00C326F4">
        <w:t>idence</w:t>
      </w:r>
    </w:p>
    <w:p w:rsidR="00000000" w:rsidRPr="00C326F4" w:rsidP="00C326F4">
      <w:pPr>
        <w:pStyle w:val="BodyText"/>
      </w:pPr>
      <w:r w:rsidRPr="00C326F4">
        <w:t>Must provide evidence that demonstrates knowledge of:</w:t>
      </w:r>
    </w:p>
    <w:p w:rsidR="00000000" w:rsidRPr="00C326F4" w:rsidP="00C326F4">
      <w:pPr>
        <w:pStyle w:val="ListBullet"/>
      </w:pPr>
      <w:r w:rsidRPr="00C326F4">
        <w:t>common biotechnology terms</w:t>
      </w:r>
    </w:p>
    <w:p w:rsidR="00000000" w:rsidRPr="00C326F4" w:rsidP="00C326F4">
      <w:pPr>
        <w:pStyle w:val="ListBullet"/>
      </w:pPr>
      <w:r w:rsidRPr="00C326F4">
        <w:t>molecular biology principles and concepts underpinning tests and procedures relevant to job role, including:</w:t>
      </w:r>
    </w:p>
    <w:p w:rsidR="00000000" w:rsidRPr="00C326F4" w:rsidP="00C326F4">
      <w:pPr>
        <w:pStyle w:val="ListBullet2"/>
      </w:pPr>
      <w:r w:rsidRPr="00C326F4">
        <w:t>DNA and RNA structure and function</w:t>
      </w:r>
    </w:p>
    <w:p w:rsidR="00000000" w:rsidRPr="00C326F4" w:rsidP="00C326F4">
      <w:pPr>
        <w:pStyle w:val="ListBullet2"/>
      </w:pPr>
      <w:r w:rsidRPr="00C326F4">
        <w:t>p</w:t>
      </w:r>
      <w:r w:rsidRPr="00C326F4">
        <w:t>rotein structure and function</w:t>
      </w:r>
    </w:p>
    <w:p w:rsidR="00000000" w:rsidRPr="00C326F4" w:rsidP="00C326F4">
      <w:pPr>
        <w:pStyle w:val="ListBullet2"/>
      </w:pPr>
      <w:r w:rsidRPr="00C326F4">
        <w:t>the relationship between chemical and physical properties of nucleic acids and proteins and the techniques used for sampling, preparation and testing</w:t>
      </w:r>
    </w:p>
    <w:p w:rsidR="00000000" w:rsidRPr="00C326F4" w:rsidP="00C326F4">
      <w:pPr>
        <w:pStyle w:val="ListBullet2"/>
      </w:pPr>
      <w:r w:rsidRPr="00C326F4">
        <w:t>replication</w:t>
      </w:r>
    </w:p>
    <w:p w:rsidR="00000000" w:rsidRPr="00C326F4" w:rsidP="00C326F4">
      <w:pPr>
        <w:pStyle w:val="ListBullet2"/>
      </w:pPr>
      <w:r w:rsidRPr="00C326F4">
        <w:t>transcription, translation and gene regulation</w:t>
      </w:r>
    </w:p>
    <w:p w:rsidR="00000000" w:rsidRPr="00C326F4" w:rsidP="00C326F4">
      <w:pPr>
        <w:pStyle w:val="ListBullet2"/>
      </w:pPr>
      <w:r w:rsidRPr="00C326F4">
        <w:t>relationship betw</w:t>
      </w:r>
      <w:r w:rsidRPr="00C326F4">
        <w:t>een structure, organisation and function of biomolecules to the storage of information in cells, chromatin, circular and linear chromosomes, RNA, genes and plasmids</w:t>
      </w:r>
    </w:p>
    <w:p w:rsidR="00000000" w:rsidRPr="00C326F4" w:rsidP="00C326F4">
      <w:pPr>
        <w:pStyle w:val="ListBullet2"/>
      </w:pPr>
      <w:r w:rsidRPr="00C326F4">
        <w:t>molecular genetics (molecular nature, organisation and function of genes)</w:t>
      </w:r>
    </w:p>
    <w:p w:rsidR="00000000" w:rsidRPr="00C326F4" w:rsidP="00C326F4">
      <w:pPr>
        <w:pStyle w:val="ListBullet2"/>
      </w:pPr>
      <w:r w:rsidRPr="00C326F4">
        <w:t>molecular mechani</w:t>
      </w:r>
      <w:r w:rsidRPr="00C326F4">
        <w:t>sms of DNA mutation and variation</w:t>
      </w:r>
    </w:p>
    <w:p w:rsidR="00000000" w:rsidRPr="00C326F4" w:rsidP="00C326F4">
      <w:pPr>
        <w:pStyle w:val="ListBullet2"/>
      </w:pPr>
      <w:r w:rsidRPr="00C326F4">
        <w:t>DNA transfer in prokaryotes (transformation, conjugation and transduction)</w:t>
      </w:r>
    </w:p>
    <w:p w:rsidR="00000000" w:rsidRPr="00C326F4" w:rsidP="00C326F4">
      <w:pPr>
        <w:pStyle w:val="ListBullet2"/>
      </w:pPr>
      <w:r w:rsidRPr="00C326F4">
        <w:t>restriction enzyme and ligase structure, nomenclature, function, specificity and stability, and cohesive versus blunt ends</w:t>
      </w:r>
    </w:p>
    <w:p w:rsidR="00000000" w:rsidRPr="00C326F4" w:rsidP="00C326F4">
      <w:pPr>
        <w:pStyle w:val="ListBullet"/>
      </w:pPr>
      <w:r w:rsidRPr="00C326F4">
        <w:t>ethical issues associat</w:t>
      </w:r>
      <w:r w:rsidRPr="00C326F4">
        <w:t>ed with biotechnology, such as:</w:t>
      </w:r>
    </w:p>
    <w:p w:rsidR="00000000" w:rsidRPr="00C326F4" w:rsidP="00C326F4">
      <w:pPr>
        <w:pStyle w:val="ListBullet2"/>
      </w:pPr>
      <w:r w:rsidRPr="00C326F4">
        <w:t>use of animals for research</w:t>
      </w:r>
    </w:p>
    <w:p w:rsidR="00000000" w:rsidRPr="00C326F4" w:rsidP="00C326F4">
      <w:pPr>
        <w:pStyle w:val="ListBullet2"/>
      </w:pPr>
      <w:r w:rsidRPr="00C326F4">
        <w:t>genetic modification of organisms and food</w:t>
      </w:r>
    </w:p>
    <w:p w:rsidR="00000000" w:rsidRPr="00C326F4" w:rsidP="00C326F4">
      <w:pPr>
        <w:pStyle w:val="ListBullet2"/>
      </w:pPr>
      <w:r w:rsidRPr="00C326F4">
        <w:t>use of gene therapy, cloning and stem cells</w:t>
      </w:r>
    </w:p>
    <w:p w:rsidR="00000000" w:rsidRPr="00C326F4" w:rsidP="00C326F4">
      <w:pPr>
        <w:pStyle w:val="ListBullet2"/>
      </w:pPr>
      <w:r w:rsidRPr="00C326F4">
        <w:t>in vitro fertilisation</w:t>
      </w:r>
    </w:p>
    <w:p w:rsidR="00000000" w:rsidRPr="00C326F4" w:rsidP="00C326F4">
      <w:pPr>
        <w:pStyle w:val="ListBullet2"/>
      </w:pPr>
      <w:r w:rsidRPr="00C326F4">
        <w:t>forensic testing of populations</w:t>
      </w:r>
    </w:p>
    <w:p w:rsidR="00000000" w:rsidRPr="00C326F4" w:rsidP="00C326F4">
      <w:pPr>
        <w:pStyle w:val="ListBullet2"/>
      </w:pPr>
      <w:r w:rsidRPr="00C326F4">
        <w:t>importance of commercial confidentiality, protection of intellectual property (IP) and patents</w:t>
      </w:r>
    </w:p>
    <w:p w:rsidR="00000000" w:rsidRPr="00C326F4" w:rsidP="00C326F4">
      <w:pPr>
        <w:pStyle w:val="ListBullet2"/>
      </w:pPr>
      <w:r w:rsidRPr="00C326F4">
        <w:t>genetic screening of humans</w:t>
      </w:r>
    </w:p>
    <w:p w:rsidR="00000000" w:rsidRPr="00C326F4" w:rsidP="00C326F4">
      <w:pPr>
        <w:pStyle w:val="ListBullet2"/>
      </w:pPr>
      <w:r w:rsidRPr="00C326F4">
        <w:t>sex determination and parentage testing of embryos/humans</w:t>
      </w:r>
    </w:p>
    <w:p w:rsidR="00000000" w:rsidRPr="00C326F4" w:rsidP="00C326F4">
      <w:pPr>
        <w:pStyle w:val="ListBullet"/>
      </w:pPr>
      <w:r w:rsidRPr="00C326F4">
        <w:t>importance and appropriate use of validation methods, controls and certifi</w:t>
      </w:r>
      <w:r w:rsidRPr="00C326F4">
        <w:t>ed reference materials</w:t>
      </w:r>
    </w:p>
    <w:p w:rsidR="00000000" w:rsidRPr="00C326F4" w:rsidP="00C326F4">
      <w:pPr>
        <w:pStyle w:val="ListBullet"/>
      </w:pPr>
      <w:r w:rsidRPr="00C326F4">
        <w:t>workplace and/or legal traceability requirements</w:t>
      </w:r>
    </w:p>
    <w:p w:rsidR="00000000" w:rsidRPr="00C326F4" w:rsidP="00C326F4">
      <w:pPr>
        <w:pStyle w:val="ListBullet"/>
      </w:pPr>
      <w:r w:rsidRPr="00C326F4">
        <w:t>relevant hazards, work health and safety (WHS) and environment requirements.</w:t>
      </w:r>
    </w:p>
    <w:p w:rsidR="00000000" w:rsidRPr="00C326F4" w:rsidP="00C326F4">
      <w:pPr>
        <w:pStyle w:val="AllowPageBreak"/>
      </w:pPr>
    </w:p>
    <w:p w:rsidR="00000000" w:rsidRPr="00C326F4" w:rsidP="00C326F4">
      <w:pPr>
        <w:pStyle w:val="Heading1"/>
      </w:pPr>
      <w:bookmarkStart w:id="4" w:name="O_901770"/>
      <w:bookmarkEnd w:id="4"/>
      <w:r w:rsidRPr="00C326F4">
        <w:t>Assessment Conditions</w:t>
      </w:r>
    </w:p>
    <w:p w:rsidR="00000000" w:rsidRPr="00C326F4" w:rsidP="00C326F4">
      <w:pPr>
        <w:pStyle w:val="ListBullet"/>
      </w:pPr>
      <w:r w:rsidRPr="00C326F4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C326F4" w:rsidP="00C326F4">
      <w:pPr>
        <w:pStyle w:val="ListBullet"/>
      </w:pPr>
      <w:r w:rsidRPr="00C326F4">
        <w:t>This unit of competency is to be assessed in the workplace or a simul</w:t>
      </w:r>
      <w:r w:rsidRPr="00C326F4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C326F4">
        <w:t xml:space="preserve">ills and job role environment skills.  </w:t>
      </w:r>
    </w:p>
    <w:p w:rsidR="00000000" w:rsidRPr="00C326F4" w:rsidP="00C326F4">
      <w:pPr>
        <w:pStyle w:val="ListBullet"/>
      </w:pPr>
      <w:r w:rsidRPr="00C326F4">
        <w:t xml:space="preserve">Foundation skills are integral to competent performance of the unit and should not be assessed separately. </w:t>
      </w:r>
    </w:p>
    <w:p w:rsidR="00000000" w:rsidRPr="00C326F4" w:rsidP="00C326F4">
      <w:pPr>
        <w:pStyle w:val="ListBullet"/>
      </w:pPr>
      <w:r w:rsidRPr="00C326F4">
        <w:t xml:space="preserve">Assessment processes and techniques must be appropriate to the language, literacy and numeracy requirements </w:t>
      </w:r>
      <w:r w:rsidRPr="00C326F4">
        <w:t>of the work being performed and the needs of the candidate.</w:t>
      </w:r>
    </w:p>
    <w:p w:rsidR="00000000" w:rsidRPr="00C326F4" w:rsidP="00C326F4">
      <w:pPr>
        <w:pStyle w:val="ListBullet"/>
      </w:pPr>
      <w:r w:rsidRPr="00C326F4">
        <w:t>Knowledge evidence may be collected concurrently with performance evidence or through an independent process, such as workbooks, written assessments or interviews (provided a record is kept in eac</w:t>
      </w:r>
      <w:r w:rsidRPr="00C326F4">
        <w:t>h case).</w:t>
      </w:r>
    </w:p>
    <w:p w:rsidR="00000000" w:rsidRPr="00C326F4" w:rsidP="00C326F4">
      <w:pPr>
        <w:pStyle w:val="ListBullet"/>
      </w:pPr>
      <w:r w:rsidRPr="00C326F4">
        <w:t xml:space="preserve">This unit of competency may be assessed with: </w:t>
      </w:r>
    </w:p>
    <w:p w:rsidR="00000000" w:rsidRPr="00C326F4" w:rsidP="00C326F4">
      <w:pPr>
        <w:pStyle w:val="ListBullet2"/>
      </w:pPr>
      <w:r w:rsidRPr="00C326F4">
        <w:t>MSL974008 Capture and manage scientific images</w:t>
      </w:r>
    </w:p>
    <w:p w:rsidR="00000000" w:rsidRPr="00C326F4" w:rsidP="00C326F4">
      <w:pPr>
        <w:pStyle w:val="ListBullet2"/>
      </w:pPr>
      <w:r w:rsidRPr="00C326F4">
        <w:t>MSL975001 Perform microbiological tests</w:t>
      </w:r>
    </w:p>
    <w:p w:rsidR="00000000" w:rsidRPr="00C326F4" w:rsidP="00C326F4">
      <w:pPr>
        <w:pStyle w:val="ListBullet2"/>
      </w:pPr>
      <w:r w:rsidRPr="00C326F4">
        <w:t>MSL975008 Apply electrophoretic techniques</w:t>
      </w:r>
    </w:p>
    <w:p w:rsidR="00000000" w:rsidRPr="00C326F4" w:rsidP="00C326F4">
      <w:pPr>
        <w:pStyle w:val="ListBullet2"/>
      </w:pPr>
      <w:r w:rsidRPr="00C326F4">
        <w:t>MSL975009 Apply routine chromatographic techniques</w:t>
      </w:r>
    </w:p>
    <w:p w:rsidR="00000000" w:rsidRPr="00C326F4" w:rsidP="00C326F4">
      <w:pPr>
        <w:pStyle w:val="ListBullet2"/>
      </w:pPr>
      <w:r w:rsidRPr="00C326F4">
        <w:t xml:space="preserve">MSL975013 Perform </w:t>
      </w:r>
      <w:r w:rsidRPr="00C326F4">
        <w:t>tissue and cell culture techniques</w:t>
      </w:r>
    </w:p>
    <w:p w:rsidR="00000000" w:rsidRPr="00C326F4" w:rsidP="00C326F4">
      <w:pPr>
        <w:pStyle w:val="ListBullet2"/>
      </w:pPr>
      <w:r w:rsidRPr="00C326F4">
        <w:t>MSL975020 Apply routine spectrometric techniques</w:t>
      </w:r>
    </w:p>
    <w:p w:rsidR="00000000" w:rsidRPr="00C326F4" w:rsidP="00C326F4">
      <w:pPr>
        <w:pStyle w:val="ListBullet"/>
      </w:pPr>
      <w:r w:rsidRPr="00C326F4">
        <w:t xml:space="preserve">Holistic assessment methods include: </w:t>
      </w:r>
    </w:p>
    <w:p w:rsidR="00000000" w:rsidRPr="00C326F4" w:rsidP="00C326F4">
      <w:pPr>
        <w:pStyle w:val="ListBullet2"/>
      </w:pPr>
      <w:r w:rsidRPr="00C326F4">
        <w:t>review of results obtained by the candidate over a period of time to ensure accuracy and consistency</w:t>
      </w:r>
    </w:p>
    <w:p w:rsidR="00000000" w:rsidRPr="00C326F4" w:rsidP="00C326F4">
      <w:pPr>
        <w:pStyle w:val="ListBullet2"/>
      </w:pPr>
      <w:r w:rsidRPr="00C326F4">
        <w:t>review of test records and workplace documentation completed by the candidate</w:t>
      </w:r>
    </w:p>
    <w:p w:rsidR="00000000" w:rsidRPr="00C326F4" w:rsidP="00C326F4">
      <w:pPr>
        <w:pStyle w:val="ListBullet2"/>
      </w:pPr>
      <w:r w:rsidRPr="00C326F4">
        <w:t>feedback from peers and supervisors about the candidate’s ability to provide accurate and consistent results within required timelines</w:t>
      </w:r>
    </w:p>
    <w:p w:rsidR="00000000" w:rsidRPr="00C326F4" w:rsidP="00C326F4">
      <w:pPr>
        <w:pStyle w:val="ListBullet2"/>
      </w:pPr>
      <w:r w:rsidRPr="00C326F4">
        <w:t>observation of candidate isolating, purifyi</w:t>
      </w:r>
      <w:r w:rsidRPr="00C326F4">
        <w:t xml:space="preserve">ng, verifying and manipulating biomolecules </w:t>
      </w:r>
    </w:p>
    <w:p w:rsidR="00000000" w:rsidRPr="00C326F4" w:rsidP="00C326F4">
      <w:pPr>
        <w:pStyle w:val="ListBullet2"/>
      </w:pPr>
      <w:r w:rsidRPr="00C326F4">
        <w:t>oral or written questioning covering workplace procedures and technical aspects of molecular biology tests and procedures performed as part of job role.</w:t>
      </w:r>
    </w:p>
    <w:p w:rsidR="00000000" w:rsidRPr="00C326F4" w:rsidP="00C326F4">
      <w:pPr>
        <w:pStyle w:val="ListBullet"/>
      </w:pPr>
      <w:r w:rsidRPr="00C326F4">
        <w:t xml:space="preserve">Access is required to instruments, equipment, materials, </w:t>
      </w:r>
      <w:r w:rsidRPr="00C326F4">
        <w:t>workplace documentation, procedures and specifications associated with this unit, including, but not limited to:</w:t>
      </w:r>
    </w:p>
    <w:p w:rsidR="00000000" w:rsidRPr="00C326F4" w:rsidP="00C326F4">
      <w:pPr>
        <w:pStyle w:val="ListBullet2"/>
      </w:pPr>
      <w:r w:rsidRPr="00C326F4">
        <w:t>a molecular biology laboratory equipped with appropriate test equipment, analytical instruments, standards and reagents</w:t>
      </w:r>
    </w:p>
    <w:p w:rsidR="00000000" w:rsidRPr="00C326F4" w:rsidP="00C326F4">
      <w:pPr>
        <w:pStyle w:val="ListBullet2"/>
      </w:pPr>
      <w:r w:rsidRPr="00C326F4">
        <w:t xml:space="preserve">workplace procedures, </w:t>
      </w:r>
      <w:r w:rsidRPr="00C326F4">
        <w:t>standard methods, manuals and supplier documentation, test results and documentation.</w:t>
      </w:r>
    </w:p>
    <w:p w:rsidR="00000000" w:rsidRPr="00C326F4" w:rsidP="00C326F4">
      <w:pPr>
        <w:pStyle w:val="ListBullet"/>
      </w:pPr>
      <w:r w:rsidRPr="00C326F4">
        <w:t xml:space="preserve">Assessors must satisfy the assessor competency requirements that are in place at the time of the assessment as set by the VET regulator.  </w:t>
      </w:r>
    </w:p>
    <w:p w:rsidR="00000000" w:rsidRPr="00C326F4" w:rsidP="00C326F4">
      <w:pPr>
        <w:pStyle w:val="ListBullet"/>
      </w:pPr>
      <w:r w:rsidRPr="00C326F4">
        <w:t xml:space="preserve">The assessor must demonstrate </w:t>
      </w:r>
      <w:r w:rsidRPr="00C326F4">
        <w:t>both technical competence and currency.</w:t>
      </w:r>
    </w:p>
    <w:p w:rsidR="00000000" w:rsidRPr="00C326F4" w:rsidP="00C326F4">
      <w:pPr>
        <w:pStyle w:val="ListBullet"/>
      </w:pPr>
      <w:r w:rsidRPr="00C326F4">
        <w:t>Technical competence can be demonstrated through:</w:t>
      </w:r>
    </w:p>
    <w:p w:rsidR="00000000" w:rsidRPr="00C326F4" w:rsidP="00C326F4">
      <w:pPr>
        <w:pStyle w:val="ListBullet2"/>
      </w:pPr>
      <w:r w:rsidRPr="00C326F4">
        <w:t>relevant VET or other qualification/Statement of Attainment AND/OR</w:t>
      </w:r>
    </w:p>
    <w:p w:rsidR="00000000" w:rsidRPr="00C326F4" w:rsidP="00C326F4">
      <w:pPr>
        <w:pStyle w:val="ListBullet2"/>
      </w:pPr>
      <w:r w:rsidRPr="00C326F4">
        <w:t>relevant workplace experience.</w:t>
      </w:r>
    </w:p>
    <w:p w:rsidR="00000000" w:rsidRPr="00C326F4" w:rsidP="00C326F4">
      <w:pPr>
        <w:pStyle w:val="ListBullet"/>
      </w:pPr>
      <w:r w:rsidRPr="00C326F4">
        <w:t>Currency can be demonstrated through:</w:t>
      </w:r>
    </w:p>
    <w:p w:rsidR="00000000" w:rsidRPr="00C326F4" w:rsidP="00C326F4">
      <w:pPr>
        <w:pStyle w:val="ListBullet2"/>
      </w:pPr>
      <w:r w:rsidRPr="00C326F4">
        <w:t>performing the competency b</w:t>
      </w:r>
      <w:r w:rsidRPr="00C326F4">
        <w:t>eing assessed as part of current employment OR</w:t>
      </w:r>
    </w:p>
    <w:p w:rsidR="00000000" w:rsidRPr="00C326F4" w:rsidP="00C326F4">
      <w:pPr>
        <w:pStyle w:val="ListBullet2"/>
      </w:pPr>
      <w:r w:rsidRPr="00C326F4">
        <w:t>having consulted with a laboratory about performing the competency being assessed within the last twelve months.</w:t>
      </w:r>
    </w:p>
    <w:p w:rsidR="00000000" w:rsidRPr="00C326F4" w:rsidP="00C326F4">
      <w:pPr>
        <w:pStyle w:val="AllowPageBreak"/>
      </w:pPr>
    </w:p>
    <w:p w:rsidR="00000000" w:rsidRPr="00C326F4" w:rsidP="00C326F4">
      <w:pPr>
        <w:pStyle w:val="Heading1"/>
      </w:pPr>
      <w:bookmarkStart w:id="5" w:name="O_901768"/>
      <w:bookmarkEnd w:id="5"/>
      <w:r w:rsidRPr="00C326F4">
        <w:t>Links</w:t>
      </w:r>
    </w:p>
    <w:p w:rsidR="00000000" w:rsidRPr="00C326F4" w:rsidP="00C326F4">
      <w:pPr>
        <w:pStyle w:val="BodyText"/>
      </w:pPr>
      <w:r w:rsidRPr="00C326F4">
        <w:t>MSA Training Package Implementation Guides - http://mskills.org.au/training-packages/info/</w:t>
      </w:r>
    </w:p>
    <w:p w:rsidR="00000000" w:rsidRPr="00C326F4" w:rsidP="00C326F4"/>
    <w:sectPr w:rsidSect="00C326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 w:rsidRPr="007F5BFA" w:rsidP="007F5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FA" w:rsidP="00C32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BFA" w:rsidP="00C32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F5BFA" w:rsidP="00C32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 w:rsidRPr="007F5BFA" w:rsidP="007F5B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FA" w:rsidRPr="002D2AF8" w:rsidP="00C32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MSL975014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F5BFA" w:rsidP="00C32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65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425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82D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6F4"/>
  </w:style>
  <w:style w:type="character" w:customStyle="1" w:styleId="Heading1Char">
    <w:name w:val="Heading 1 Char"/>
    <w:basedOn w:val="DefaultParagraphFont"/>
    <w:link w:val="Heading1"/>
    <w:rsid w:val="00C32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6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6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6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6F4"/>
    <w:rPr>
      <w:b/>
      <w:spacing w:val="0"/>
    </w:rPr>
  </w:style>
  <w:style w:type="paragraph" w:customStyle="1" w:styleId="SuperTitle">
    <w:name w:val="SuperTitle"/>
    <w:basedOn w:val="Title"/>
    <w:rsid w:val="00C32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6F4"/>
    <w:rPr>
      <w:i/>
    </w:rPr>
  </w:style>
  <w:style w:type="paragraph" w:styleId="Caption">
    <w:name w:val="caption"/>
    <w:basedOn w:val="BodyText"/>
    <w:next w:val="Normal"/>
    <w:qFormat/>
    <w:rsid w:val="00C32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6F4"/>
  </w:style>
  <w:style w:type="paragraph" w:styleId="TableofFigures">
    <w:name w:val="table of figures"/>
    <w:basedOn w:val="Normal"/>
    <w:next w:val="Normal"/>
    <w:semiHidden/>
    <w:rsid w:val="00C32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6F4"/>
    <w:pPr>
      <w:numPr>
        <w:numId w:val="11"/>
      </w:numPr>
    </w:pPr>
  </w:style>
  <w:style w:type="character" w:customStyle="1" w:styleId="WingdingSymbols">
    <w:name w:val="Wingding Symbols"/>
    <w:rsid w:val="00C326F4"/>
    <w:rPr>
      <w:rFonts w:ascii="Wingdings" w:hAnsi="Wingdings"/>
    </w:rPr>
  </w:style>
  <w:style w:type="paragraph" w:customStyle="1" w:styleId="TableHeading">
    <w:name w:val="Table Heading"/>
    <w:basedOn w:val="HeadingBase"/>
    <w:rsid w:val="00C32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6F4"/>
    <w:rPr>
      <w:color w:val="0033CC"/>
      <w:u w:val="none"/>
    </w:rPr>
  </w:style>
  <w:style w:type="paragraph" w:customStyle="1" w:styleId="BodyTextRight">
    <w:name w:val="Body Text Right"/>
    <w:basedOn w:val="BodyText"/>
    <w:rsid w:val="00C32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6F4"/>
    <w:rPr>
      <w:sz w:val="32"/>
    </w:rPr>
  </w:style>
  <w:style w:type="paragraph" w:customStyle="1" w:styleId="HeadingProcedure">
    <w:name w:val="Heading Procedure"/>
    <w:basedOn w:val="HeadingBase"/>
    <w:next w:val="Normal"/>
    <w:rsid w:val="00C32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6F4"/>
    <w:pPr>
      <w:spacing w:before="60" w:after="60"/>
    </w:pPr>
  </w:style>
  <w:style w:type="paragraph" w:styleId="ListContinue">
    <w:name w:val="List Continue"/>
    <w:basedOn w:val="List"/>
    <w:rsid w:val="00C326F4"/>
    <w:pPr>
      <w:ind w:firstLine="0"/>
    </w:pPr>
  </w:style>
  <w:style w:type="paragraph" w:customStyle="1" w:styleId="ListNote">
    <w:name w:val="List Note"/>
    <w:basedOn w:val="List"/>
    <w:rsid w:val="00C32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6F4"/>
    <w:rPr>
      <w:rFonts w:ascii="Courier New" w:hAnsi="Courier New"/>
    </w:rPr>
  </w:style>
  <w:style w:type="paragraph" w:customStyle="1" w:styleId="NoteBullet">
    <w:name w:val="Note Bullet"/>
    <w:basedOn w:val="Note"/>
    <w:rsid w:val="00C32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6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2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6F4"/>
    <w:rPr>
      <w:b/>
      <w:smallCaps/>
    </w:rPr>
  </w:style>
  <w:style w:type="paragraph" w:customStyle="1" w:styleId="TableListNumber">
    <w:name w:val="Table List Number"/>
    <w:basedOn w:val="ListNumber"/>
    <w:rsid w:val="00C32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6F4"/>
    <w:pPr>
      <w:numPr>
        <w:numId w:val="9"/>
      </w:numPr>
    </w:pPr>
  </w:style>
  <w:style w:type="paragraph" w:customStyle="1" w:styleId="ListAlpha2">
    <w:name w:val="List Alpha 2"/>
    <w:basedOn w:val="List2"/>
    <w:rsid w:val="00C326F4"/>
    <w:pPr>
      <w:numPr>
        <w:numId w:val="8"/>
      </w:numPr>
    </w:pPr>
  </w:style>
  <w:style w:type="paragraph" w:styleId="List2">
    <w:name w:val="List 2"/>
    <w:basedOn w:val="BodyText"/>
    <w:rsid w:val="00C32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6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6F4"/>
    <w:pPr>
      <w:numPr>
        <w:numId w:val="4"/>
      </w:numPr>
    </w:pPr>
  </w:style>
  <w:style w:type="paragraph" w:styleId="ListContinue2">
    <w:name w:val="List Continue 2"/>
    <w:basedOn w:val="List2"/>
    <w:rsid w:val="00C326F4"/>
    <w:pPr>
      <w:ind w:firstLine="0"/>
    </w:pPr>
  </w:style>
  <w:style w:type="paragraph" w:styleId="ListContinue3">
    <w:name w:val="List Continue 3"/>
    <w:basedOn w:val="List3"/>
    <w:rsid w:val="00C326F4"/>
    <w:pPr>
      <w:ind w:left="1021" w:firstLine="0"/>
    </w:pPr>
  </w:style>
  <w:style w:type="paragraph" w:styleId="ListContinue4">
    <w:name w:val="List Continue 4"/>
    <w:basedOn w:val="List4"/>
    <w:rsid w:val="00C326F4"/>
    <w:pPr>
      <w:ind w:firstLine="0"/>
    </w:pPr>
  </w:style>
  <w:style w:type="paragraph" w:styleId="ListContinue5">
    <w:name w:val="List Continue 5"/>
    <w:basedOn w:val="List5"/>
    <w:rsid w:val="00C326F4"/>
    <w:pPr>
      <w:ind w:firstLine="0"/>
    </w:pPr>
  </w:style>
  <w:style w:type="paragraph" w:styleId="ListNumber3">
    <w:name w:val="List Number 3"/>
    <w:basedOn w:val="List3"/>
    <w:rsid w:val="00C326F4"/>
    <w:pPr>
      <w:numPr>
        <w:numId w:val="5"/>
      </w:numPr>
    </w:pPr>
  </w:style>
  <w:style w:type="paragraph" w:styleId="ListNumber4">
    <w:name w:val="List Number 4"/>
    <w:basedOn w:val="List4"/>
    <w:rsid w:val="00C326F4"/>
    <w:pPr>
      <w:numPr>
        <w:numId w:val="6"/>
      </w:numPr>
    </w:pPr>
  </w:style>
  <w:style w:type="paragraph" w:styleId="ListNumber5">
    <w:name w:val="List Number 5"/>
    <w:basedOn w:val="List5"/>
    <w:rsid w:val="00C326F4"/>
    <w:pPr>
      <w:numPr>
        <w:numId w:val="7"/>
      </w:numPr>
    </w:pPr>
  </w:style>
  <w:style w:type="paragraph" w:styleId="BlockText">
    <w:name w:val="Block Text"/>
    <w:basedOn w:val="Normal"/>
    <w:rsid w:val="00C32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6F4"/>
    <w:rPr>
      <w:sz w:val="16"/>
      <w:vertAlign w:val="superscript"/>
    </w:rPr>
  </w:style>
  <w:style w:type="character" w:customStyle="1" w:styleId="Symbols">
    <w:name w:val="Symbols"/>
    <w:basedOn w:val="DefaultParagraphFont"/>
    <w:rsid w:val="00C326F4"/>
    <w:rPr>
      <w:rFonts w:ascii="Symbol" w:hAnsi="Symbol"/>
    </w:rPr>
  </w:style>
  <w:style w:type="character" w:customStyle="1" w:styleId="MenuOptions">
    <w:name w:val="Menu Options"/>
    <w:basedOn w:val="DefaultParagraphFont"/>
    <w:rsid w:val="00C32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6F4"/>
    <w:rPr>
      <w:b/>
    </w:rPr>
  </w:style>
  <w:style w:type="character" w:customStyle="1" w:styleId="Underlined">
    <w:name w:val="Underlined"/>
    <w:basedOn w:val="DefaultParagraphFont"/>
    <w:rsid w:val="00C326F4"/>
    <w:rPr>
      <w:u w:val="single"/>
    </w:rPr>
  </w:style>
  <w:style w:type="paragraph" w:customStyle="1" w:styleId="TableBodyTextRight">
    <w:name w:val="Table Body Text Right"/>
    <w:basedOn w:val="TableBodyText"/>
    <w:rsid w:val="00C32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6F4"/>
    <w:rPr>
      <w:sz w:val="18"/>
    </w:rPr>
  </w:style>
  <w:style w:type="paragraph" w:customStyle="1" w:styleId="BodySmallRight">
    <w:name w:val="Body Small Right"/>
    <w:basedOn w:val="BodyTextRight"/>
    <w:rsid w:val="00C326F4"/>
    <w:rPr>
      <w:sz w:val="18"/>
      <w:szCs w:val="18"/>
    </w:rPr>
  </w:style>
  <w:style w:type="paragraph" w:customStyle="1" w:styleId="MarginEdition">
    <w:name w:val="Margin Edition"/>
    <w:basedOn w:val="MarginNote"/>
    <w:rsid w:val="00C32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6F4"/>
    <w:rPr>
      <w:sz w:val="2"/>
      <w:szCs w:val="2"/>
    </w:rPr>
  </w:style>
  <w:style w:type="character" w:customStyle="1" w:styleId="Small">
    <w:name w:val="Small"/>
    <w:basedOn w:val="DefaultParagraphFont"/>
    <w:rsid w:val="00C326F4"/>
    <w:rPr>
      <w:sz w:val="16"/>
    </w:rPr>
  </w:style>
  <w:style w:type="paragraph" w:customStyle="1" w:styleId="WideTable">
    <w:name w:val="Wide Table"/>
    <w:basedOn w:val="Normal"/>
    <w:rsid w:val="00C32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6F4"/>
  </w:style>
  <w:style w:type="paragraph" w:styleId="Quote">
    <w:name w:val="Quote"/>
    <w:basedOn w:val="Heading1"/>
    <w:link w:val="QuoteChar"/>
    <w:qFormat/>
    <w:rsid w:val="00C32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6F4"/>
    <w:pPr>
      <w:pageBreakBefore/>
    </w:pPr>
  </w:style>
  <w:style w:type="paragraph" w:customStyle="1" w:styleId="Border">
    <w:name w:val="Border"/>
    <w:basedOn w:val="Normal"/>
    <w:qFormat/>
    <w:rsid w:val="00C32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6F4"/>
    <w:rPr>
      <w:u w:val="single"/>
    </w:rPr>
  </w:style>
  <w:style w:type="character" w:customStyle="1" w:styleId="BoldandItalics">
    <w:name w:val="Bold and Italics"/>
    <w:qFormat/>
    <w:rsid w:val="00C326F4"/>
    <w:rPr>
      <w:b/>
      <w:i/>
      <w:u w:val="none"/>
    </w:rPr>
  </w:style>
  <w:style w:type="paragraph" w:styleId="BalloonText">
    <w:name w:val="Balloon Text"/>
    <w:basedOn w:val="Normal"/>
    <w:link w:val="BalloonTextChar"/>
    <w:rsid w:val="00C32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6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6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5471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MSL975014 Perform molecular biology tests and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2016-03-01T06:20:00Z</dcterms:created>
  <dcterms:modified xsi:type="dcterms:W3CDTF">2016-03-01T06:20:00Z</dcterms:modified>
</cp:coreProperties>
</file>