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4A3" w:rsidP="00E504A3">
      <w:pPr>
        <w:pStyle w:val="Title"/>
      </w:pPr>
      <w:r>
        <w:fldChar w:fldCharType="begin"/>
      </w:r>
      <w:r>
        <w:instrText xml:space="preserve"> TITLE   \* MERGEFORMAT </w:instrText>
      </w:r>
      <w:r>
        <w:fldChar w:fldCharType="separate"/>
      </w:r>
      <w:r>
        <w:t>MSL975011 Design and supervise complex environmental field surveys</w:t>
      </w:r>
      <w:r>
        <w:fldChar w:fldCharType="end"/>
      </w:r>
    </w:p>
    <w:p w:rsidR="00E504A3" w:rsidP="00E504A3">
      <w:pPr>
        <w:pStyle w:val="Version"/>
        <w:sectPr w:rsidSect="00F16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291" w:rsidP="00F16291">
      <w:pPr>
        <w:pStyle w:val="SuperHeading"/>
      </w:pPr>
      <w:r w:rsidRPr="00F16291">
        <w:t>MSL975011 Design and supervise complex environmental field surveys</w:t>
      </w:r>
    </w:p>
    <w:p w:rsidR="00000000" w:rsidRPr="00F16291" w:rsidP="00F16291">
      <w:pPr>
        <w:pStyle w:val="Heading1"/>
      </w:pPr>
      <w:bookmarkStart w:id="1" w:name="O_901708"/>
      <w:bookmarkEnd w:id="1"/>
      <w:r w:rsidRPr="00F16291">
        <w:t>Modification History</w:t>
      </w:r>
    </w:p>
    <w:p w:rsidR="00000000" w:rsidRPr="00F16291" w:rsidP="00F16291">
      <w:pPr>
        <w:pStyle w:val="BodyText"/>
      </w:pPr>
      <w:r w:rsidRPr="00F16291">
        <w:t xml:space="preserve">Release 1. Supersedes and is equivalent to MSL975011A Design and supervise complex environmental field surveys  </w:t>
      </w:r>
    </w:p>
    <w:p w:rsidR="00000000" w:rsidRPr="00F16291" w:rsidP="00F16291">
      <w:pPr>
        <w:pStyle w:val="AllowPageBreak"/>
      </w:pPr>
    </w:p>
    <w:p w:rsidR="00000000" w:rsidRPr="00F16291" w:rsidP="00F16291">
      <w:pPr>
        <w:pStyle w:val="Heading1"/>
      </w:pPr>
      <w:bookmarkStart w:id="2" w:name="O_901716"/>
      <w:bookmarkEnd w:id="2"/>
      <w:r w:rsidRPr="00F16291">
        <w:t>Application</w:t>
      </w:r>
    </w:p>
    <w:p w:rsidR="00000000" w:rsidRPr="00F16291" w:rsidP="00F16291">
      <w:pPr>
        <w:pStyle w:val="BodyText"/>
      </w:pPr>
      <w:r w:rsidRPr="00F16291">
        <w:t>This unit of competency covers the ability to design and supervise complex field surveys for a wide range of environmental systems. This unit covers confirming survey requirements, designing and organising field surveys to achieve their purpose, and superv</w:t>
      </w:r>
      <w:r w:rsidRPr="00F16291">
        <w:t xml:space="preserve">ising the field survey according to a defined plan. </w:t>
      </w:r>
    </w:p>
    <w:p w:rsidR="00000000" w:rsidRPr="00F16291" w:rsidP="00F16291">
      <w:pPr>
        <w:pStyle w:val="BodyText"/>
      </w:pPr>
    </w:p>
    <w:p w:rsidR="00000000" w:rsidRPr="00F16291" w:rsidP="00F16291">
      <w:pPr>
        <w:pStyle w:val="BodyText"/>
      </w:pPr>
      <w:r w:rsidRPr="00F16291">
        <w:t>This unit of competency is applicable to technical officers working in the environmental industry sector. All operations must comply with relevant standards, appropriate procedures and/or workplace requ</w:t>
      </w:r>
      <w:r w:rsidRPr="00F16291">
        <w:t>irements.</w:t>
      </w:r>
    </w:p>
    <w:p w:rsidR="00000000" w:rsidRPr="00F16291" w:rsidP="00F16291">
      <w:pPr>
        <w:pStyle w:val="BodyText"/>
      </w:pPr>
    </w:p>
    <w:p w:rsidR="00000000" w:rsidRPr="00F16291" w:rsidP="00F16291">
      <w:pPr>
        <w:pStyle w:val="BodyText"/>
      </w:pPr>
      <w:r w:rsidRPr="00F16291">
        <w:t>While no specific licensing or certification requirements apply to this unit at the time of publication, laboratory operations are governed by relevant legislation, regulations and/or external accreditation requirements. Local requirements shoul</w:t>
      </w:r>
      <w:r w:rsidRPr="00F16291">
        <w:t>d be checked.</w:t>
      </w:r>
    </w:p>
    <w:p w:rsidR="00000000" w:rsidRPr="00F16291" w:rsidP="00F16291">
      <w:pPr>
        <w:pStyle w:val="AllowPageBreak"/>
      </w:pPr>
    </w:p>
    <w:p w:rsidR="00000000" w:rsidRPr="00F16291" w:rsidP="00F16291">
      <w:pPr>
        <w:pStyle w:val="Heading1"/>
      </w:pPr>
      <w:bookmarkStart w:id="3" w:name="O_901715"/>
      <w:bookmarkEnd w:id="3"/>
      <w:r w:rsidRPr="00F16291">
        <w:t>Pre-requisite Unit</w:t>
      </w:r>
    </w:p>
    <w:tbl>
      <w:tblPr>
        <w:tblW w:w="0" w:type="auto"/>
        <w:tblCellMar>
          <w:left w:w="62" w:type="dxa"/>
          <w:right w:w="62" w:type="dxa"/>
        </w:tblCellMar>
        <w:tblLook w:val="0000"/>
      </w:tblPr>
      <w:tblGrid>
        <w:gridCol w:w="2163"/>
        <w:gridCol w:w="7033"/>
      </w:tblGrid>
      <w:tr w:rsidTr="00E50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MSL974007</w:t>
            </w:r>
          </w:p>
        </w:tc>
        <w:tc>
          <w:tcPr>
            <w:tcW w:w="0" w:type="auto"/>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Undertake environmental field-based monitoring</w:t>
            </w:r>
          </w:p>
        </w:tc>
      </w:tr>
    </w:tbl>
    <w:p w:rsidR="00000000" w:rsidRPr="00F16291" w:rsidP="00F16291">
      <w:pPr>
        <w:pStyle w:val="BodyText"/>
      </w:pPr>
    </w:p>
    <w:p w:rsidR="00000000" w:rsidRPr="00F16291" w:rsidP="00F16291">
      <w:pPr>
        <w:pStyle w:val="AllowPageBreak"/>
      </w:pPr>
    </w:p>
    <w:p w:rsidR="00000000" w:rsidRPr="00F16291" w:rsidP="00F16291">
      <w:pPr>
        <w:pStyle w:val="Heading1"/>
      </w:pPr>
      <w:bookmarkStart w:id="4" w:name="O_901714"/>
      <w:bookmarkEnd w:id="4"/>
      <w:r w:rsidRPr="00F16291">
        <w:t>Competency Field</w:t>
      </w:r>
    </w:p>
    <w:p w:rsidR="00000000" w:rsidRPr="00F16291" w:rsidP="00F16291">
      <w:pPr>
        <w:pStyle w:val="BodyText"/>
      </w:pPr>
      <w:r w:rsidRPr="00F16291">
        <w:t>Testing</w:t>
      </w:r>
    </w:p>
    <w:p w:rsidR="00000000" w:rsidRPr="00F16291" w:rsidP="00F16291">
      <w:pPr>
        <w:pStyle w:val="AllowPageBreak"/>
      </w:pPr>
    </w:p>
    <w:p w:rsidR="00000000" w:rsidRPr="00F16291" w:rsidP="00F16291">
      <w:pPr>
        <w:pStyle w:val="Heading1"/>
      </w:pPr>
      <w:bookmarkStart w:id="5" w:name="O_901713"/>
      <w:bookmarkEnd w:id="5"/>
      <w:r w:rsidRPr="00F16291">
        <w:t>Unit Sector</w:t>
      </w:r>
    </w:p>
    <w:p w:rsidR="00000000" w:rsidRPr="00F16291" w:rsidP="00F16291">
      <w:pPr>
        <w:pStyle w:val="Heading1"/>
      </w:pPr>
      <w:bookmarkStart w:id="6" w:name="O_901712"/>
      <w:bookmarkEnd w:id="6"/>
      <w:r w:rsidRPr="00F162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62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Performance criteria describe the performance needed to demonstrate achievement of the element.</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1</w:t>
            </w:r>
          </w:p>
        </w:tc>
        <w:tc>
          <w:tcPr>
            <w:tcW w:w="1962" w:type="dxa"/>
            <w:vMerge w:val="restart"/>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Confirm survey requirements with senior staff</w:t>
            </w: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1.1</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Confirm the purpose and objectives of the field survey activiti</w:t>
            </w:r>
            <w:r w:rsidRPr="00F16291">
              <w:t>es with senior management and details of information required</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1.2</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Clarify the purpose and objectives of the field survey activities with all stakeholders within the context of the workplace's overall environmental program</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1.3</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Identify and accurately interpret all external statutory requirements and workplace protocols that relate to the defined field survey activities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1.4</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Analyse drivers and constraints that may influence field survey activities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1.5</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Document the type, qua</w:t>
            </w:r>
            <w:r w:rsidRPr="00F16291">
              <w:t>ntity and quality of data needed to meet the defined objectives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1.6</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Refine and document the detailed objectives of the field activities with senior management and stakeholders</w:t>
            </w:r>
          </w:p>
        </w:tc>
      </w:tr>
      <w:tr w:rsidTr="00F162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6291">
            <w:pPr>
              <w:pStyle w:val="BodyText"/>
              <w:rPr>
                <w:lang w:val="en-NZ"/>
              </w:rPr>
            </w:pP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2</w:t>
            </w:r>
          </w:p>
        </w:tc>
        <w:tc>
          <w:tcPr>
            <w:tcW w:w="1962" w:type="dxa"/>
            <w:vMerge w:val="restart"/>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Design field survey activities</w:t>
            </w: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2.1</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Develop and document details of the field survey methodology and, if appropriate, trial and refine them under field conditions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2.2</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Discuss and confirm survey methodology with senior staff and external experts or stakeholders, as appropriate</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2.3</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Develop work program, including timetable and staff roles and responsibilities for the total field survey, and all related activities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2.4</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Ensure that work program conforms to workplace requirements covering risk management, data quality procedures, safe</w:t>
            </w:r>
            <w:r w:rsidRPr="00F16291">
              <w:t>ty, environmental and emergency requirements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2.5</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Document work program, address all administration requirements and obtain appropriate approvals</w:t>
            </w:r>
          </w:p>
        </w:tc>
      </w:tr>
      <w:tr w:rsidTr="00F162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6291">
            <w:pPr>
              <w:pStyle w:val="BodyText"/>
              <w:rPr>
                <w:lang w:val="en-NZ"/>
              </w:rPr>
            </w:pP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3</w:t>
            </w:r>
          </w:p>
        </w:tc>
        <w:tc>
          <w:tcPr>
            <w:tcW w:w="1962" w:type="dxa"/>
            <w:vMerge w:val="restart"/>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Identify resources and supervise pre-survey checks</w:t>
            </w: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3.1</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Identify and list all resources required to implement the agreed work program</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3.2</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Arrange collection and checking of all equipment, field instruments and supplies required for implementation of the work program</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3.3</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Supervise calibration of all appropriate field instruments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3.4</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Arrange correct packaging and transportation of equipment and instruments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3.5</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Ensure that all access, transport, communication and emergency systems have been arranged and are suitable fo</w:t>
            </w:r>
            <w:r w:rsidRPr="00F16291">
              <w:t>r all field locations and activities</w:t>
            </w:r>
          </w:p>
        </w:tc>
      </w:tr>
      <w:tr w:rsidTr="00F162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6291">
            <w:pPr>
              <w:pStyle w:val="BodyText"/>
              <w:rPr>
                <w:lang w:val="en-NZ"/>
              </w:rPr>
            </w:pP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4</w:t>
            </w:r>
          </w:p>
        </w:tc>
        <w:tc>
          <w:tcPr>
            <w:tcW w:w="1962" w:type="dxa"/>
            <w:vMerge w:val="restart"/>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Supervise field survey activities</w:t>
            </w: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4.1</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Supervise all field survey and associated activities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4.2</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Monitor equitable duty rosters covering field survey activities in consultation with all staff</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4.3</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Ensure that all data quality procedures are followed</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4.4</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Ensure that all survey work is performed safely and with minimal impact on the environment</w:t>
            </w:r>
          </w:p>
        </w:tc>
      </w:tr>
      <w:tr w:rsidTr="00F162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6291">
            <w:pPr>
              <w:pStyle w:val="BodyText"/>
              <w:rPr>
                <w:lang w:val="en-NZ"/>
              </w:rPr>
            </w:pP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5</w:t>
            </w:r>
          </w:p>
        </w:tc>
        <w:tc>
          <w:tcPr>
            <w:tcW w:w="1962" w:type="dxa"/>
            <w:vMerge w:val="restart"/>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Supervise close-down of field activities</w:t>
            </w: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5.1</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Arrange for the checking, packaging and transportation of all samples, equipment and instruments back to base</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5.2</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Ensure that site is left in accordance with workplace and environmental requirements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5.3</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Monitor dispatch of collected samples for subse</w:t>
            </w:r>
            <w:r w:rsidRPr="00F16291">
              <w:t>quent laboratory analyses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5.4</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Ensure that all equipment and instruments are tested and decontaminated before final storage, as necessary</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5.5</w:t>
            </w:r>
          </w:p>
        </w:tc>
        <w:tc>
          <w:tcPr>
            <w:tcW w:w="561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Ensure all field data is stored appropriately for subsequent analysis</w:t>
            </w:r>
          </w:p>
        </w:tc>
      </w:tr>
      <w:tr w:rsidTr="00F162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5.6</w:t>
            </w:r>
          </w:p>
        </w:tc>
        <w:tc>
          <w:tcPr>
            <w:tcW w:w="5610" w:type="dxa"/>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Report results, any anomalies and recommendations to data analysers, users and/or supervisor</w:t>
            </w:r>
          </w:p>
        </w:tc>
      </w:tr>
    </w:tbl>
    <w:p w:rsidR="00000000" w:rsidRPr="00F16291" w:rsidP="00F16291">
      <w:pPr>
        <w:pStyle w:val="BodyText"/>
      </w:pPr>
    </w:p>
    <w:p w:rsidR="00000000" w:rsidRPr="00F16291" w:rsidP="00F16291">
      <w:pPr>
        <w:pStyle w:val="AllowPageBreak"/>
      </w:pPr>
    </w:p>
    <w:p w:rsidR="00000000" w:rsidRPr="00F16291" w:rsidP="00F16291">
      <w:pPr>
        <w:pStyle w:val="Heading1"/>
      </w:pPr>
      <w:bookmarkStart w:id="7" w:name="O_901711"/>
      <w:bookmarkEnd w:id="7"/>
      <w:r w:rsidRPr="00F16291">
        <w:t>Foundation Skills</w:t>
      </w:r>
    </w:p>
    <w:p w:rsidR="00000000" w:rsidRPr="00F16291" w:rsidP="00F16291">
      <w:pPr>
        <w:pStyle w:val="BodyText"/>
      </w:pPr>
      <w:r w:rsidRPr="00F16291">
        <w:t>This section describes those language, literacy, numeracy and employment skills that are essential to performance.</w:t>
      </w:r>
    </w:p>
    <w:p w:rsidR="00000000" w:rsidRPr="00F16291" w:rsidP="00F16291">
      <w:pPr>
        <w:pStyle w:val="BodyText"/>
      </w:pPr>
    </w:p>
    <w:p w:rsidR="00000000" w:rsidRPr="00F16291" w:rsidP="00F16291">
      <w:pPr>
        <w:pStyle w:val="BodyText"/>
      </w:pPr>
      <w:r w:rsidRPr="00F16291">
        <w:t>Foundation</w:t>
      </w:r>
      <w:r w:rsidRPr="00F16291">
        <w:t xml:space="preserve"> skills essential to performance are explicit in the performance criteria of this unit of competency.</w:t>
      </w:r>
    </w:p>
    <w:p w:rsidR="00000000" w:rsidRPr="00F16291" w:rsidP="00F16291">
      <w:pPr>
        <w:pStyle w:val="AllowPageBreak"/>
      </w:pPr>
    </w:p>
    <w:p w:rsidR="00000000" w:rsidRPr="00F16291" w:rsidP="00F16291">
      <w:pPr>
        <w:pStyle w:val="Heading1"/>
      </w:pPr>
      <w:bookmarkStart w:id="8" w:name="O_901710"/>
      <w:bookmarkEnd w:id="8"/>
      <w:r w:rsidRPr="00F16291">
        <w:t>Range of Conditions</w:t>
      </w:r>
    </w:p>
    <w:tbl>
      <w:tblPr>
        <w:tblW w:w="0" w:type="auto"/>
        <w:tblCellMar>
          <w:left w:w="62" w:type="dxa"/>
          <w:right w:w="62" w:type="dxa"/>
        </w:tblCellMar>
        <w:tblLook w:val="0000"/>
      </w:tblPr>
      <w:tblGrid>
        <w:gridCol w:w="2163"/>
        <w:gridCol w:w="7033"/>
      </w:tblGrid>
      <w:tr w:rsidTr="00E504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t>This field allows for diff</w:t>
            </w:r>
            <w:r w:rsidRPr="00F16291">
              <w:t>erent work environments and conditions that may affect performance. Essential operating conditions that may be present (depending on the work situation, needs of the candidate, accessibility of the item, and local industry and regional contexts) are includ</w:t>
            </w:r>
            <w:r w:rsidRPr="00F16291">
              <w:t>ed.</w:t>
            </w:r>
          </w:p>
        </w:tc>
      </w:tr>
      <w:tr w:rsidTr="00E50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Standards, codes, procedures and/or workplace requirements include the latest version of one or more of:</w:t>
            </w:r>
          </w:p>
          <w:p w:rsidR="00000000" w:rsidRPr="00F16291" w:rsidP="00F16291">
            <w:pPr>
              <w:pStyle w:val="ListBullet"/>
            </w:pPr>
            <w:r w:rsidRPr="00F16291">
              <w:t>Australian, national and international standards, guidelines and codes covering labe</w:t>
            </w:r>
            <w:r w:rsidRPr="00F16291">
              <w:t>lling of workplace substances; storage, handling and transport of dangerous goods; and environmental management</w:t>
            </w:r>
          </w:p>
          <w:p w:rsidR="00000000" w:rsidRPr="00F16291" w:rsidP="00F16291">
            <w:pPr>
              <w:pStyle w:val="ListBullet"/>
            </w:pPr>
            <w:r w:rsidRPr="00F16291">
              <w:t>national work health and safety (WHS) standards and codes of practice, and occupational protective equipment</w:t>
            </w:r>
          </w:p>
          <w:p w:rsidR="00000000" w:rsidRPr="00F16291" w:rsidP="00F16291">
            <w:pPr>
              <w:pStyle w:val="ListBullet"/>
            </w:pPr>
            <w:r w:rsidRPr="00F16291">
              <w:t>government policy and regulations c</w:t>
            </w:r>
            <w:r w:rsidRPr="00F16291">
              <w:t>overing environmental management, sustainable development and impact assessment, and environmental protection measures</w:t>
            </w:r>
          </w:p>
          <w:p w:rsidR="00000000" w:rsidRPr="00F16291" w:rsidP="00F16291">
            <w:pPr>
              <w:pStyle w:val="ListBullet"/>
            </w:pPr>
            <w:r w:rsidRPr="00F16291">
              <w:t xml:space="preserve">industry-specific codes, regulations and guidelines, such as animal welfare legislation and codes of practice, and Australian Quarantine </w:t>
            </w:r>
            <w:r w:rsidRPr="00F16291">
              <w:t>and Inspection Service (AQIS) Export Control (Orders) Regulations and Import Guidelines</w:t>
            </w:r>
          </w:p>
          <w:p w:rsidR="00000000" w:rsidRPr="00F16291" w:rsidP="00F16291">
            <w:pPr>
              <w:pStyle w:val="ListBullet"/>
            </w:pPr>
            <w:r w:rsidRPr="00F16291">
              <w:t>standard methods for conducting field monitoring and surveys, specific environmental standards, survey plans, site-specific requirements, stakeholder consultation proto</w:t>
            </w:r>
            <w:r w:rsidRPr="00F16291">
              <w:t>cols, permits for access to land (e.g. Aboriginal reserves), and wildlife capture and handling</w:t>
            </w:r>
          </w:p>
          <w:p w:rsidR="00000000" w:rsidRPr="00F16291" w:rsidP="00F16291">
            <w:pPr>
              <w:pStyle w:val="ListBullet"/>
            </w:pPr>
            <w:r w:rsidRPr="00F16291">
              <w:t>workplace documents, such as ethics committee approval, standard operating procedures (SOPs), data quality procedures, equipment manuals and warranties, supplier</w:t>
            </w:r>
            <w:r w:rsidRPr="00F16291">
              <w:t xml:space="preserve"> catalogue and handbooks, calibration and maintenance schedules, material safety data sheets (MSDS) and safety procedures, safety and accident/injury/emergency plans, survey/laboratory schedules, workplace recording and reporting procedures, and waste mini</w:t>
            </w:r>
            <w:r w:rsidRPr="00F16291">
              <w:t>misation and safe disposal procedures</w:t>
            </w:r>
          </w:p>
          <w:p w:rsidR="00000000" w:rsidP="00F16291">
            <w:pPr>
              <w:pStyle w:val="BodyText"/>
              <w:rPr>
                <w:lang w:val="en-NZ"/>
              </w:rPr>
            </w:pPr>
          </w:p>
        </w:tc>
      </w:tr>
      <w:tr w:rsidTr="00E50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 xml:space="preserve">Field survey activities </w:t>
            </w:r>
          </w:p>
        </w:tc>
        <w:tc>
          <w:tcPr>
            <w:tcW w:w="0" w:type="auto"/>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Field survey activities, but are not limited to, include one or more of:</w:t>
            </w:r>
          </w:p>
          <w:p w:rsidR="00000000" w:rsidRPr="00F16291" w:rsidP="00F16291">
            <w:pPr>
              <w:pStyle w:val="ListBullet"/>
            </w:pPr>
            <w:r w:rsidRPr="00F16291">
              <w:t>climate and meteorology</w:t>
            </w:r>
          </w:p>
          <w:p w:rsidR="00000000" w:rsidRPr="00F16291" w:rsidP="00F16291">
            <w:pPr>
              <w:pStyle w:val="ListBullet"/>
            </w:pPr>
            <w:r w:rsidRPr="00F16291">
              <w:t>geology, soils and geomorphology</w:t>
            </w:r>
          </w:p>
          <w:p w:rsidR="00000000" w:rsidRPr="00F16291" w:rsidP="00F16291">
            <w:pPr>
              <w:pStyle w:val="ListBullet"/>
            </w:pPr>
            <w:r w:rsidRPr="00F16291">
              <w:t>hydrology and water quality</w:t>
            </w:r>
          </w:p>
          <w:p w:rsidR="00000000" w:rsidRPr="00F16291" w:rsidP="00F16291">
            <w:pPr>
              <w:pStyle w:val="ListBullet"/>
            </w:pPr>
            <w:r w:rsidRPr="00F16291">
              <w:t>noise</w:t>
            </w:r>
          </w:p>
          <w:p w:rsidR="00000000" w:rsidRPr="00F16291" w:rsidP="00F16291">
            <w:pPr>
              <w:pStyle w:val="ListBullet"/>
            </w:pPr>
            <w:r w:rsidRPr="00F16291">
              <w:t>land resources, vegetation, wildlife and conservation</w:t>
            </w:r>
          </w:p>
          <w:p w:rsidR="00000000" w:rsidRPr="00F16291" w:rsidP="00F16291">
            <w:pPr>
              <w:pStyle w:val="ListBullet"/>
            </w:pPr>
            <w:r w:rsidRPr="00F16291">
              <w:t>land uses, agriculture, forestry, mining and recreation</w:t>
            </w:r>
          </w:p>
          <w:p w:rsidR="00000000" w:rsidP="00F16291">
            <w:pPr>
              <w:pStyle w:val="BodyText"/>
              <w:rPr>
                <w:lang w:val="en-NZ"/>
              </w:rPr>
            </w:pPr>
          </w:p>
        </w:tc>
      </w:tr>
      <w:tr w:rsidTr="00E50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 xml:space="preserve">Clients and stakeholders </w:t>
            </w:r>
          </w:p>
        </w:tc>
        <w:tc>
          <w:tcPr>
            <w:tcW w:w="0" w:type="auto"/>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Clients and stakeholders include, but are not limited to, one or more of:</w:t>
            </w:r>
          </w:p>
          <w:p w:rsidR="00000000" w:rsidRPr="00F16291" w:rsidP="00F16291">
            <w:pPr>
              <w:pStyle w:val="ListBullet"/>
            </w:pPr>
            <w:r w:rsidRPr="00F16291">
              <w:t>Commonwealth, state/territory and local gov</w:t>
            </w:r>
            <w:r w:rsidRPr="00F16291">
              <w:t>ernment agencies</w:t>
            </w:r>
          </w:p>
          <w:p w:rsidR="00000000" w:rsidRPr="00F16291" w:rsidP="00F16291">
            <w:pPr>
              <w:pStyle w:val="ListBullet"/>
            </w:pPr>
            <w:r w:rsidRPr="00F16291">
              <w:t>organisations with monitoring and/or survey responsibilities</w:t>
            </w:r>
          </w:p>
          <w:p w:rsidR="00000000" w:rsidRPr="00F16291" w:rsidP="00F16291">
            <w:pPr>
              <w:pStyle w:val="ListBullet"/>
            </w:pPr>
            <w:r w:rsidRPr="00F16291">
              <w:t>regulatory authorities</w:t>
            </w:r>
          </w:p>
          <w:p w:rsidR="00000000" w:rsidRPr="00F16291" w:rsidP="00F16291">
            <w:pPr>
              <w:pStyle w:val="ListBullet"/>
            </w:pPr>
            <w:r w:rsidRPr="00F16291">
              <w:t>private companies</w:t>
            </w:r>
          </w:p>
          <w:p w:rsidR="00000000" w:rsidRPr="00F16291" w:rsidP="00F16291">
            <w:pPr>
              <w:pStyle w:val="ListBullet"/>
            </w:pPr>
            <w:r w:rsidRPr="00F16291">
              <w:t>developers</w:t>
            </w:r>
          </w:p>
          <w:p w:rsidR="00000000" w:rsidRPr="00F16291" w:rsidP="00F16291">
            <w:pPr>
              <w:pStyle w:val="ListBullet"/>
            </w:pPr>
            <w:r w:rsidRPr="00F16291">
              <w:t>land owners and leaseholders</w:t>
            </w:r>
          </w:p>
          <w:p w:rsidR="00000000" w:rsidP="00F16291">
            <w:pPr>
              <w:pStyle w:val="BodyText"/>
              <w:rPr>
                <w:lang w:val="en-NZ"/>
              </w:rPr>
            </w:pPr>
          </w:p>
        </w:tc>
      </w:tr>
      <w:tr w:rsidTr="00E50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 xml:space="preserve">The purpose or objective of the field survey </w:t>
            </w:r>
          </w:p>
        </w:tc>
        <w:tc>
          <w:tcPr>
            <w:tcW w:w="0" w:type="auto"/>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The purpose or objective of field surveys include, but are not limited to, one or more of:</w:t>
            </w:r>
          </w:p>
          <w:p w:rsidR="00000000" w:rsidRPr="00F16291" w:rsidP="00F16291">
            <w:pPr>
              <w:pStyle w:val="ListBullet"/>
            </w:pPr>
            <w:r w:rsidRPr="00F16291">
              <w:t>part of workplace environmental management plan</w:t>
            </w:r>
          </w:p>
          <w:p w:rsidR="00000000" w:rsidRPr="00F16291" w:rsidP="00F16291">
            <w:pPr>
              <w:pStyle w:val="ListBullet"/>
            </w:pPr>
            <w:r w:rsidRPr="00F16291">
              <w:t>statutory requirements</w:t>
            </w:r>
          </w:p>
          <w:p w:rsidR="00000000" w:rsidRPr="00F16291" w:rsidP="00F16291">
            <w:pPr>
              <w:pStyle w:val="ListBullet"/>
            </w:pPr>
            <w:r w:rsidRPr="00F16291">
              <w:t>environmental impact assessment for major development</w:t>
            </w:r>
          </w:p>
          <w:p w:rsidR="00000000" w:rsidRPr="00F16291" w:rsidP="00F16291">
            <w:pPr>
              <w:pStyle w:val="ListBullet"/>
            </w:pPr>
            <w:r w:rsidRPr="00F16291">
              <w:t>environment audit</w:t>
            </w:r>
          </w:p>
          <w:p w:rsidR="00000000" w:rsidRPr="00F16291" w:rsidP="00F16291">
            <w:pPr>
              <w:pStyle w:val="ListBullet"/>
            </w:pPr>
            <w:r w:rsidRPr="00F16291">
              <w:t>pollution control act</w:t>
            </w:r>
            <w:r w:rsidRPr="00F16291">
              <w:t>ivity</w:t>
            </w:r>
          </w:p>
          <w:p w:rsidR="00000000" w:rsidRPr="00F16291" w:rsidP="00F16291">
            <w:pPr>
              <w:pStyle w:val="ListBullet"/>
            </w:pPr>
            <w:r w:rsidRPr="00F16291">
              <w:t>general environmental and ecological surveys</w:t>
            </w:r>
          </w:p>
          <w:p w:rsidR="00000000" w:rsidRPr="00F16291" w:rsidP="00F16291">
            <w:pPr>
              <w:pStyle w:val="ListBullet"/>
            </w:pPr>
            <w:r w:rsidRPr="00F16291">
              <w:t>research studies</w:t>
            </w:r>
          </w:p>
          <w:p w:rsidR="00000000" w:rsidP="00F16291">
            <w:pPr>
              <w:pStyle w:val="BodyText"/>
              <w:rPr>
                <w:lang w:val="en-NZ"/>
              </w:rPr>
            </w:pPr>
          </w:p>
        </w:tc>
      </w:tr>
      <w:tr w:rsidTr="00E50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 xml:space="preserve">Administrative requirements and approvals </w:t>
            </w:r>
          </w:p>
        </w:tc>
        <w:tc>
          <w:tcPr>
            <w:tcW w:w="0" w:type="auto"/>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Administrative requirements and approvals include, but are not limited to, one or more of:</w:t>
            </w:r>
          </w:p>
          <w:p w:rsidR="00000000" w:rsidRPr="00F16291" w:rsidP="00F16291">
            <w:pPr>
              <w:pStyle w:val="ListBullet"/>
            </w:pPr>
            <w:r w:rsidRPr="00F16291">
              <w:t>travel requisitions</w:t>
            </w:r>
          </w:p>
          <w:p w:rsidR="00000000" w:rsidRPr="00F16291" w:rsidP="00F16291">
            <w:pPr>
              <w:pStyle w:val="ListBullet"/>
            </w:pPr>
            <w:r w:rsidRPr="00F16291">
              <w:t xml:space="preserve">authority for use of vehicles and equipment </w:t>
            </w:r>
          </w:p>
          <w:p w:rsidR="00000000" w:rsidRPr="00F16291" w:rsidP="00F16291">
            <w:pPr>
              <w:pStyle w:val="ListBullet"/>
            </w:pPr>
            <w:r w:rsidRPr="00F16291">
              <w:t>insurance</w:t>
            </w:r>
          </w:p>
          <w:p w:rsidR="00000000" w:rsidRPr="00F16291" w:rsidP="00F16291">
            <w:pPr>
              <w:pStyle w:val="ListBullet"/>
            </w:pPr>
            <w:r w:rsidRPr="00F16291">
              <w:t>permits</w:t>
            </w:r>
          </w:p>
          <w:p w:rsidR="00000000" w:rsidP="00F16291">
            <w:pPr>
              <w:pStyle w:val="BodyText"/>
              <w:rPr>
                <w:lang w:val="en-NZ"/>
              </w:rPr>
            </w:pPr>
          </w:p>
        </w:tc>
      </w:tr>
      <w:tr w:rsidTr="00E50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 xml:space="preserve">Field procedures </w:t>
            </w:r>
          </w:p>
        </w:tc>
        <w:tc>
          <w:tcPr>
            <w:tcW w:w="0" w:type="auto"/>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Field procedures include, but are not limited to, one or more of:</w:t>
            </w:r>
          </w:p>
          <w:p w:rsidR="00000000" w:rsidRPr="00F16291" w:rsidP="00F16291">
            <w:pPr>
              <w:pStyle w:val="ListBullet"/>
            </w:pPr>
            <w:r w:rsidRPr="00F16291">
              <w:t>sampling</w:t>
            </w:r>
          </w:p>
          <w:p w:rsidR="00000000" w:rsidRPr="00F16291" w:rsidP="00F16291">
            <w:pPr>
              <w:pStyle w:val="ListBullet"/>
            </w:pPr>
            <w:r w:rsidRPr="00F16291">
              <w:t>field testing (validated and authorised)</w:t>
            </w:r>
          </w:p>
          <w:p w:rsidR="00000000" w:rsidRPr="00F16291" w:rsidP="00F16291">
            <w:pPr>
              <w:pStyle w:val="ListBullet"/>
            </w:pPr>
            <w:r w:rsidRPr="00F16291">
              <w:t>animal trapping (and release), tagging and keeping</w:t>
            </w:r>
          </w:p>
          <w:p w:rsidR="00000000" w:rsidRPr="00F16291" w:rsidP="00F16291">
            <w:pPr>
              <w:pStyle w:val="ListBullet"/>
            </w:pPr>
            <w:r w:rsidRPr="00F16291">
              <w:t>emergency response, safety and survival aspects</w:t>
            </w:r>
          </w:p>
          <w:p w:rsidR="00000000" w:rsidRPr="00F16291" w:rsidP="00F16291">
            <w:pPr>
              <w:pStyle w:val="ListBullet"/>
            </w:pPr>
            <w:r w:rsidRPr="00F16291">
              <w:t>data collection, analysis and reporting</w:t>
            </w:r>
          </w:p>
          <w:p w:rsidR="00000000" w:rsidRPr="00F16291" w:rsidP="00F16291">
            <w:pPr>
              <w:pStyle w:val="ListBullet"/>
            </w:pPr>
            <w:r w:rsidRPr="00F16291">
              <w:t>protection of the environment</w:t>
            </w:r>
          </w:p>
          <w:p w:rsidR="00000000" w:rsidP="00F16291">
            <w:pPr>
              <w:pStyle w:val="BodyText"/>
              <w:rPr>
                <w:lang w:val="en-NZ"/>
              </w:rPr>
            </w:pPr>
          </w:p>
        </w:tc>
      </w:tr>
      <w:tr w:rsidTr="00E50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6291">
            <w:pPr>
              <w:pStyle w:val="BodyText"/>
              <w:rPr>
                <w:lang w:val="en-NZ"/>
              </w:rPr>
            </w:pPr>
            <w:r w:rsidRPr="00F16291">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F16291" w:rsidP="00F16291">
            <w:pPr>
              <w:pStyle w:val="BodyText"/>
            </w:pPr>
            <w:r w:rsidRPr="00F16291">
              <w:t>WHS and environmental management requirements include:</w:t>
            </w:r>
          </w:p>
          <w:p w:rsidR="00000000" w:rsidRPr="00F16291" w:rsidP="00F16291">
            <w:pPr>
              <w:pStyle w:val="BodyText"/>
            </w:pPr>
            <w:r w:rsidRPr="00F16291">
              <w:rPr>
                <w:rStyle w:val="Symbols"/>
              </w:rPr>
              <w:t></w:t>
            </w:r>
            <w:r w:rsidRPr="00F16291">
              <w:rPr>
                <w:rStyle w:val="Symbols"/>
              </w:rPr>
              <w:tab/>
            </w:r>
            <w:r w:rsidRPr="00F16291">
              <w:t>complying with WHS and environme</w:t>
            </w:r>
            <w:r w:rsidRPr="00F16291">
              <w:t>ntal management requirements at all times, which may be imposed through state/territory or federal legislation. These requirements must not be compromised at any time</w:t>
            </w:r>
          </w:p>
          <w:p w:rsidR="00000000" w:rsidRPr="00F16291" w:rsidP="00F16291">
            <w:pPr>
              <w:pStyle w:val="BodyText"/>
            </w:pPr>
            <w:r w:rsidRPr="00F16291">
              <w:rPr>
                <w:rStyle w:val="Symbols"/>
              </w:rPr>
              <w:t></w:t>
            </w:r>
            <w:r w:rsidRPr="00F16291">
              <w:rPr>
                <w:rStyle w:val="Symbols"/>
              </w:rPr>
              <w:tab/>
            </w:r>
            <w:r w:rsidRPr="00F16291">
              <w:t>applying standard precautions relating to the potentially hazardous nature of samples</w:t>
            </w:r>
          </w:p>
          <w:p w:rsidR="00000000" w:rsidRPr="00F16291" w:rsidP="00F16291">
            <w:pPr>
              <w:pStyle w:val="ListBullet"/>
            </w:pPr>
            <w:r w:rsidRPr="00F16291">
              <w:t>accessing and applying current industry understanding of infection control issued by the National Health and Medical Research Council (NHMRC) and State and Territory Departments of Health, where relevant</w:t>
            </w:r>
          </w:p>
        </w:tc>
      </w:tr>
    </w:tbl>
    <w:p w:rsidR="00000000" w:rsidRPr="00F16291" w:rsidP="00F16291">
      <w:pPr>
        <w:pStyle w:val="BodyText"/>
      </w:pPr>
    </w:p>
    <w:p w:rsidR="00000000" w:rsidRPr="00F16291" w:rsidP="00F16291">
      <w:pPr>
        <w:pStyle w:val="AllowPageBreak"/>
      </w:pPr>
    </w:p>
    <w:p w:rsidR="00000000" w:rsidRPr="00F16291" w:rsidP="00F16291">
      <w:pPr>
        <w:pStyle w:val="Heading1"/>
      </w:pPr>
      <w:bookmarkStart w:id="9" w:name="O_901709"/>
      <w:bookmarkEnd w:id="9"/>
      <w:r w:rsidRPr="00F16291">
        <w:t>Unit Mapping Information</w:t>
      </w:r>
    </w:p>
    <w:p w:rsidR="00000000" w:rsidRPr="00F16291" w:rsidP="00F16291">
      <w:pPr>
        <w:pStyle w:val="BodyText"/>
      </w:pPr>
      <w:r w:rsidRPr="00F16291">
        <w:t xml:space="preserve">Release 1. Supersedes and is equivalent to MSL975011A Design and supervise complex environmental field surveys  </w:t>
      </w:r>
    </w:p>
    <w:p w:rsidR="00000000" w:rsidRPr="00F16291" w:rsidP="00F16291">
      <w:pPr>
        <w:pStyle w:val="AllowPageBreak"/>
      </w:pPr>
    </w:p>
    <w:p w:rsidR="00000000" w:rsidRPr="00F16291" w:rsidP="00F16291">
      <w:pPr>
        <w:pStyle w:val="Heading1"/>
      </w:pPr>
      <w:bookmarkStart w:id="10" w:name="O_901702"/>
      <w:bookmarkEnd w:id="10"/>
      <w:r w:rsidRPr="00F16291">
        <w:t>Links</w:t>
      </w:r>
    </w:p>
    <w:p w:rsidR="00000000" w:rsidRPr="00F16291" w:rsidP="00F16291">
      <w:pPr>
        <w:pStyle w:val="BodyText"/>
      </w:pPr>
      <w:r w:rsidRPr="00F16291">
        <w:t>MSA Training Package Implementation Guides - http://mskills.org.au/training-packages/info/</w:t>
      </w:r>
    </w:p>
    <w:p w:rsidR="00000000" w:rsidRPr="00F16291" w:rsidP="00F16291"/>
    <w:sectPr w:rsidSect="00F16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1" w:rsidRPr="00E504A3" w:rsidP="00E50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A3" w:rsidP="00F16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04A3" w:rsidP="00F1629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04A3" w:rsidP="00F16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1" w:rsidRPr="00E504A3" w:rsidP="00E504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A3" w:rsidRPr="002D2AF8" w:rsidP="00F16291">
    <w:pPr>
      <w:pStyle w:val="Header"/>
      <w:framePr w:wrap="around"/>
    </w:pPr>
    <w:r>
      <w:fldChar w:fldCharType="begin"/>
    </w:r>
    <w:r>
      <w:instrText xml:space="preserve"> TITLE   \* MERGEFORMAT </w:instrText>
    </w:r>
    <w:r>
      <w:fldChar w:fldCharType="separate"/>
    </w:r>
    <w:r>
      <w:t>MSL975011 Design and supervise complex environmental field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504A3" w:rsidP="00F16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807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ACE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291"/>
    <w:pPr>
      <w:spacing w:before="360" w:after="60"/>
      <w:outlineLvl w:val="0"/>
    </w:pPr>
    <w:rPr>
      <w:sz w:val="32"/>
    </w:rPr>
  </w:style>
  <w:style w:type="paragraph" w:styleId="Heading2">
    <w:name w:val="heading 2"/>
    <w:basedOn w:val="HeadingBase"/>
    <w:next w:val="BodyText"/>
    <w:link w:val="Heading2Char"/>
    <w:qFormat/>
    <w:rsid w:val="00F16291"/>
    <w:pPr>
      <w:keepLines/>
      <w:spacing w:before="240" w:after="120"/>
      <w:outlineLvl w:val="1"/>
    </w:pPr>
    <w:rPr>
      <w:sz w:val="28"/>
      <w:szCs w:val="40"/>
    </w:rPr>
  </w:style>
  <w:style w:type="paragraph" w:styleId="Heading3">
    <w:name w:val="heading 3"/>
    <w:basedOn w:val="HeadingBase"/>
    <w:next w:val="BodyText"/>
    <w:link w:val="Heading3Char"/>
    <w:qFormat/>
    <w:rsid w:val="00F16291"/>
    <w:pPr>
      <w:spacing w:before="180" w:after="120"/>
      <w:outlineLvl w:val="2"/>
    </w:pPr>
    <w:rPr>
      <w:spacing w:val="-10"/>
      <w:kern w:val="32"/>
    </w:rPr>
  </w:style>
  <w:style w:type="paragraph" w:styleId="Heading4">
    <w:name w:val="heading 4"/>
    <w:basedOn w:val="HeadingBase"/>
    <w:next w:val="BodyText"/>
    <w:link w:val="Heading4Char"/>
    <w:qFormat/>
    <w:rsid w:val="00F16291"/>
    <w:pPr>
      <w:spacing w:before="160" w:after="120"/>
      <w:outlineLvl w:val="3"/>
    </w:pPr>
    <w:rPr>
      <w:sz w:val="22"/>
    </w:rPr>
  </w:style>
  <w:style w:type="paragraph" w:styleId="Heading5">
    <w:name w:val="heading 5"/>
    <w:basedOn w:val="HeadingBase"/>
    <w:next w:val="Normal"/>
    <w:link w:val="Heading5Char"/>
    <w:qFormat/>
    <w:rsid w:val="00F16291"/>
    <w:pPr>
      <w:spacing w:before="80"/>
      <w:outlineLvl w:val="4"/>
    </w:pPr>
    <w:rPr>
      <w:color w:val="918585"/>
      <w:sz w:val="20"/>
    </w:rPr>
  </w:style>
  <w:style w:type="paragraph" w:styleId="Heading6">
    <w:name w:val="heading 6"/>
    <w:basedOn w:val="HeadingBase"/>
    <w:next w:val="Normal"/>
    <w:link w:val="Heading6Char"/>
    <w:qFormat/>
    <w:rsid w:val="00F16291"/>
    <w:pPr>
      <w:spacing w:before="60"/>
      <w:outlineLvl w:val="5"/>
    </w:pPr>
    <w:rPr>
      <w:color w:val="918585"/>
      <w:sz w:val="20"/>
    </w:rPr>
  </w:style>
  <w:style w:type="paragraph" w:styleId="Heading7">
    <w:name w:val="heading 7"/>
    <w:basedOn w:val="Normal"/>
    <w:next w:val="Normal"/>
    <w:link w:val="Heading7Char"/>
    <w:qFormat/>
    <w:rsid w:val="00F16291"/>
    <w:pPr>
      <w:ind w:left="720"/>
      <w:outlineLvl w:val="6"/>
    </w:pPr>
    <w:rPr>
      <w:i/>
    </w:rPr>
  </w:style>
  <w:style w:type="paragraph" w:styleId="Heading8">
    <w:name w:val="heading 8"/>
    <w:basedOn w:val="Normal"/>
    <w:next w:val="Normal"/>
    <w:link w:val="Heading8Char"/>
    <w:qFormat/>
    <w:rsid w:val="00F16291"/>
    <w:pPr>
      <w:ind w:left="720"/>
      <w:outlineLvl w:val="7"/>
    </w:pPr>
    <w:rPr>
      <w:i/>
    </w:rPr>
  </w:style>
  <w:style w:type="paragraph" w:styleId="Heading9">
    <w:name w:val="heading 9"/>
    <w:basedOn w:val="Normal"/>
    <w:next w:val="Normal"/>
    <w:link w:val="Heading9Char"/>
    <w:qFormat/>
    <w:rsid w:val="00F16291"/>
    <w:pPr>
      <w:ind w:left="720"/>
      <w:outlineLvl w:val="8"/>
    </w:pPr>
    <w:rPr>
      <w:i/>
    </w:rPr>
  </w:style>
  <w:style w:type="character" w:default="1" w:styleId="DefaultParagraphFont">
    <w:name w:val="Default Paragraph Font"/>
    <w:uiPriority w:val="1"/>
    <w:unhideWhenUsed/>
    <w:rsid w:val="00F16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291"/>
  </w:style>
  <w:style w:type="character" w:customStyle="1" w:styleId="Heading1Char">
    <w:name w:val="Heading 1 Char"/>
    <w:basedOn w:val="DefaultParagraphFont"/>
    <w:link w:val="Heading1"/>
    <w:rsid w:val="00F16291"/>
    <w:rPr>
      <w:rFonts w:ascii="Times New Roman" w:eastAsia="Times New Roman" w:hAnsi="Times New Roman" w:cs="Times New Roman"/>
      <w:b/>
      <w:sz w:val="32"/>
      <w:szCs w:val="20"/>
      <w:lang w:eastAsia="en-US"/>
    </w:rPr>
  </w:style>
  <w:style w:type="paragraph" w:styleId="BodyText">
    <w:name w:val="Body Text"/>
    <w:basedOn w:val="Normal"/>
    <w:link w:val="BodyTextChar"/>
    <w:rsid w:val="00F162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6291"/>
    <w:rPr>
      <w:rFonts w:ascii="Times New Roman" w:eastAsia="Times New Roman" w:hAnsi="Times New Roman" w:cs="Times New Roman"/>
      <w:sz w:val="24"/>
      <w:lang w:eastAsia="en-US"/>
    </w:rPr>
  </w:style>
  <w:style w:type="paragraph" w:styleId="ListBullet">
    <w:name w:val="List Bullet"/>
    <w:basedOn w:val="List"/>
    <w:rsid w:val="00F16291"/>
    <w:pPr>
      <w:numPr>
        <w:numId w:val="12"/>
      </w:numPr>
      <w:tabs>
        <w:tab w:val="clear" w:pos="340"/>
      </w:tabs>
      <w:spacing w:before="40" w:after="40"/>
    </w:pPr>
  </w:style>
  <w:style w:type="character" w:customStyle="1" w:styleId="SpecialBold">
    <w:name w:val="Special Bold"/>
    <w:basedOn w:val="DefaultParagraphFont"/>
    <w:rsid w:val="00F16291"/>
    <w:rPr>
      <w:b/>
      <w:spacing w:val="0"/>
    </w:rPr>
  </w:style>
  <w:style w:type="paragraph" w:customStyle="1" w:styleId="SuperHeading">
    <w:name w:val="SuperHeading"/>
    <w:basedOn w:val="Normal"/>
    <w:rsid w:val="00F16291"/>
    <w:pPr>
      <w:spacing w:before="240" w:after="120"/>
      <w:outlineLvl w:val="0"/>
    </w:pPr>
    <w:rPr>
      <w:rFonts w:ascii="Times New Roman" w:hAnsi="Times New Roman"/>
      <w:b/>
      <w:sz w:val="32"/>
    </w:rPr>
  </w:style>
  <w:style w:type="paragraph" w:customStyle="1" w:styleId="AllowPageBreak">
    <w:name w:val="AllowPageBreak"/>
    <w:rsid w:val="00F162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16291"/>
    <w:rPr>
      <w:rFonts w:ascii="Symbol" w:hAnsi="Symbol"/>
    </w:rPr>
  </w:style>
  <w:style w:type="character" w:customStyle="1" w:styleId="Heading2Char">
    <w:name w:val="Heading 2 Char"/>
    <w:basedOn w:val="DefaultParagraphFont"/>
    <w:link w:val="Heading2"/>
    <w:rsid w:val="00F16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291"/>
    <w:rPr>
      <w:rFonts w:ascii="Courier New" w:eastAsia="Times New Roman" w:hAnsi="Courier New" w:cs="Times New Roman"/>
      <w:i/>
      <w:szCs w:val="20"/>
      <w:lang w:eastAsia="en-US"/>
    </w:rPr>
  </w:style>
  <w:style w:type="paragraph" w:customStyle="1" w:styleId="HeadingBase">
    <w:name w:val="Heading Base"/>
    <w:rsid w:val="00F16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291"/>
    <w:pPr>
      <w:tabs>
        <w:tab w:val="right" w:leader="dot" w:pos="9072"/>
      </w:tabs>
      <w:ind w:left="567"/>
    </w:pPr>
    <w:rPr>
      <w:szCs w:val="22"/>
    </w:rPr>
  </w:style>
  <w:style w:type="paragraph" w:customStyle="1" w:styleId="TOCBase">
    <w:name w:val="TOC Base"/>
    <w:rsid w:val="00F16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291"/>
    <w:pPr>
      <w:tabs>
        <w:tab w:val="right" w:leader="dot" w:pos="9072"/>
      </w:tabs>
      <w:spacing w:before="40" w:after="40"/>
      <w:ind w:left="284"/>
    </w:pPr>
    <w:rPr>
      <w:rFonts w:ascii="Times New Roman" w:hAnsi="Times New Roman"/>
    </w:rPr>
  </w:style>
  <w:style w:type="paragraph" w:styleId="TOC1">
    <w:name w:val="toc 1"/>
    <w:basedOn w:val="TOCBase"/>
    <w:next w:val="Normal"/>
    <w:rsid w:val="00F16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291"/>
    <w:rPr>
      <w:rFonts w:ascii="Times New Roman" w:eastAsia="Times New Roman" w:hAnsi="Times New Roman" w:cs="Times New Roman"/>
      <w:sz w:val="16"/>
      <w:lang w:eastAsia="en-US"/>
    </w:rPr>
  </w:style>
  <w:style w:type="paragraph" w:styleId="Title">
    <w:name w:val="Title"/>
    <w:basedOn w:val="HeadingBase"/>
    <w:link w:val="TitleChar"/>
    <w:qFormat/>
    <w:rsid w:val="00F16291"/>
    <w:pPr>
      <w:spacing w:before="5040"/>
      <w:jc w:val="center"/>
    </w:pPr>
    <w:rPr>
      <w:sz w:val="48"/>
      <w:szCs w:val="72"/>
      <w:lang w:val="en-US"/>
    </w:rPr>
  </w:style>
  <w:style w:type="character" w:customStyle="1" w:styleId="TitleChar">
    <w:name w:val="Title Char"/>
    <w:basedOn w:val="DefaultParagraphFont"/>
    <w:link w:val="Title"/>
    <w:rsid w:val="00F16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291"/>
    <w:pPr>
      <w:tabs>
        <w:tab w:val="left" w:pos="3600"/>
        <w:tab w:val="left" w:pos="3958"/>
      </w:tabs>
    </w:pPr>
  </w:style>
  <w:style w:type="paragraph" w:styleId="List">
    <w:name w:val="List"/>
    <w:basedOn w:val="BodyText"/>
    <w:next w:val="BodyText"/>
    <w:rsid w:val="00F16291"/>
    <w:pPr>
      <w:tabs>
        <w:tab w:val="left" w:pos="340"/>
      </w:tabs>
      <w:spacing w:before="60" w:after="60"/>
      <w:ind w:left="340" w:hanging="340"/>
    </w:pPr>
  </w:style>
  <w:style w:type="paragraph" w:customStyle="1" w:styleId="Note">
    <w:name w:val="Note"/>
    <w:basedOn w:val="BodyText"/>
    <w:rsid w:val="00F16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291"/>
    <w:pPr>
      <w:framePr w:wrap="auto" w:hAnchor="text" w:y="6049"/>
    </w:pPr>
    <w:rPr>
      <w:color w:val="000000"/>
      <w:sz w:val="40"/>
    </w:rPr>
  </w:style>
  <w:style w:type="paragraph" w:customStyle="1" w:styleId="TOCTitle">
    <w:name w:val="TOCTitle"/>
    <w:basedOn w:val="Heading1"/>
    <w:rsid w:val="00F16291"/>
    <w:pPr>
      <w:spacing w:after="240"/>
      <w:jc w:val="center"/>
      <w:outlineLvl w:val="9"/>
    </w:pPr>
    <w:rPr>
      <w:caps/>
    </w:rPr>
  </w:style>
  <w:style w:type="paragraph" w:customStyle="1" w:styleId="Version">
    <w:name w:val="Version"/>
    <w:rsid w:val="00F162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6291"/>
    <w:pPr>
      <w:numPr>
        <w:numId w:val="13"/>
      </w:numPr>
      <w:tabs>
        <w:tab w:val="clear" w:pos="680"/>
      </w:tabs>
    </w:pPr>
  </w:style>
  <w:style w:type="paragraph" w:styleId="Index1">
    <w:name w:val="index 1"/>
    <w:basedOn w:val="Normal"/>
    <w:next w:val="Normal"/>
    <w:semiHidden/>
    <w:rsid w:val="00F16291"/>
    <w:pPr>
      <w:keepNext w:val="0"/>
      <w:tabs>
        <w:tab w:val="right" w:pos="4176"/>
      </w:tabs>
      <w:ind w:left="198" w:hanging="198"/>
    </w:pPr>
    <w:rPr>
      <w:rFonts w:ascii="Garamond" w:hAnsi="Garamond"/>
    </w:rPr>
  </w:style>
  <w:style w:type="paragraph" w:styleId="IndexHeading">
    <w:name w:val="index heading"/>
    <w:basedOn w:val="Normal"/>
    <w:next w:val="Index1"/>
    <w:semiHidden/>
    <w:rsid w:val="00F16291"/>
    <w:pPr>
      <w:spacing w:before="120" w:after="120"/>
    </w:pPr>
    <w:rPr>
      <w:rFonts w:ascii="Arial" w:hAnsi="Arial"/>
      <w:b/>
      <w:color w:val="918585"/>
      <w:sz w:val="24"/>
    </w:rPr>
  </w:style>
  <w:style w:type="paragraph" w:styleId="Header">
    <w:name w:val="header"/>
    <w:basedOn w:val="Normal"/>
    <w:link w:val="HeaderChar"/>
    <w:rsid w:val="00F16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291"/>
    <w:rPr>
      <w:rFonts w:ascii="Times New Roman" w:eastAsia="Times New Roman" w:hAnsi="Times New Roman" w:cs="Times New Roman"/>
      <w:sz w:val="16"/>
      <w:szCs w:val="20"/>
      <w:lang w:val="en-GB" w:eastAsia="en-US"/>
    </w:rPr>
  </w:style>
  <w:style w:type="paragraph" w:customStyle="1" w:styleId="Chapter">
    <w:name w:val="Chapter"/>
    <w:basedOn w:val="Normal"/>
    <w:rsid w:val="00F16291"/>
    <w:pPr>
      <w:spacing w:before="240"/>
    </w:pPr>
    <w:rPr>
      <w:rFonts w:ascii="Times New Roman" w:hAnsi="Times New Roman"/>
      <w:smallCaps/>
      <w:spacing w:val="80"/>
      <w:sz w:val="28"/>
    </w:rPr>
  </w:style>
  <w:style w:type="paragraph" w:customStyle="1" w:styleId="InChapter">
    <w:name w:val="InChapter"/>
    <w:basedOn w:val="Heading3"/>
    <w:rsid w:val="00F16291"/>
    <w:pPr>
      <w:spacing w:after="240"/>
      <w:outlineLvl w:val="9"/>
    </w:pPr>
    <w:rPr>
      <w:noProof/>
    </w:rPr>
  </w:style>
  <w:style w:type="paragraph" w:styleId="Index2">
    <w:name w:val="index 2"/>
    <w:basedOn w:val="Normal"/>
    <w:next w:val="Normal"/>
    <w:semiHidden/>
    <w:rsid w:val="00F16291"/>
    <w:pPr>
      <w:tabs>
        <w:tab w:val="right" w:pos="4176"/>
      </w:tabs>
      <w:ind w:left="568" w:hanging="284"/>
    </w:pPr>
    <w:rPr>
      <w:rFonts w:ascii="Garamond" w:hAnsi="Garamond"/>
    </w:rPr>
  </w:style>
  <w:style w:type="paragraph" w:customStyle="1" w:styleId="Byline">
    <w:name w:val="Byline"/>
    <w:rsid w:val="00F16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291"/>
    <w:pPr>
      <w:tabs>
        <w:tab w:val="clear" w:pos="3600"/>
        <w:tab w:val="clear" w:pos="3958"/>
      </w:tabs>
      <w:jc w:val="right"/>
    </w:pPr>
  </w:style>
  <w:style w:type="character" w:styleId="Emphasis">
    <w:name w:val="Emphasis"/>
    <w:basedOn w:val="DefaultParagraphFont"/>
    <w:qFormat/>
    <w:rsid w:val="00F16291"/>
    <w:rPr>
      <w:i/>
    </w:rPr>
  </w:style>
  <w:style w:type="paragraph" w:styleId="Caption">
    <w:name w:val="caption"/>
    <w:basedOn w:val="BodyText"/>
    <w:next w:val="Normal"/>
    <w:qFormat/>
    <w:rsid w:val="00F16291"/>
    <w:pPr>
      <w:framePr w:w="2268" w:hSpace="181" w:vSpace="181" w:wrap="around" w:vAnchor="text" w:hAnchor="page" w:x="1135" w:y="285" w:anchorLock="1"/>
    </w:pPr>
    <w:rPr>
      <w:i/>
    </w:rPr>
  </w:style>
  <w:style w:type="paragraph" w:customStyle="1" w:styleId="MiniTOCTitle">
    <w:name w:val="MiniTOCTitle"/>
    <w:basedOn w:val="Heading4"/>
    <w:rsid w:val="00F16291"/>
    <w:pPr>
      <w:spacing w:before="240"/>
      <w:outlineLvl w:val="9"/>
    </w:pPr>
    <w:rPr>
      <w:noProof/>
      <w:sz w:val="24"/>
    </w:rPr>
  </w:style>
  <w:style w:type="paragraph" w:customStyle="1" w:styleId="MiniTOCItem">
    <w:name w:val="MiniTOCItem"/>
    <w:basedOn w:val="ListBullet"/>
    <w:rsid w:val="00F16291"/>
    <w:pPr>
      <w:numPr>
        <w:numId w:val="0"/>
      </w:numPr>
      <w:tabs>
        <w:tab w:val="right" w:leader="dot" w:pos="6521"/>
      </w:tabs>
      <w:spacing w:before="0" w:after="0"/>
    </w:pPr>
  </w:style>
  <w:style w:type="paragraph" w:customStyle="1" w:styleId="TOFTitle">
    <w:name w:val="TOFTitle"/>
    <w:basedOn w:val="TOCTitle"/>
    <w:rsid w:val="00F16291"/>
  </w:style>
  <w:style w:type="paragraph" w:styleId="TableofFigures">
    <w:name w:val="table of figures"/>
    <w:basedOn w:val="Normal"/>
    <w:next w:val="Normal"/>
    <w:semiHidden/>
    <w:rsid w:val="00F16291"/>
    <w:pPr>
      <w:tabs>
        <w:tab w:val="right" w:leader="dot" w:pos="9072"/>
      </w:tabs>
      <w:ind w:left="970" w:hanging="403"/>
    </w:pPr>
    <w:rPr>
      <w:rFonts w:ascii="Times New Roman" w:hAnsi="Times New Roman"/>
      <w:b/>
    </w:rPr>
  </w:style>
  <w:style w:type="paragraph" w:styleId="ListNumber">
    <w:name w:val="List Number"/>
    <w:basedOn w:val="List"/>
    <w:rsid w:val="00F16291"/>
    <w:pPr>
      <w:numPr>
        <w:numId w:val="10"/>
      </w:numPr>
    </w:pPr>
  </w:style>
  <w:style w:type="character" w:customStyle="1" w:styleId="WingdingSymbols">
    <w:name w:val="Wingding Symbols"/>
    <w:rsid w:val="00F16291"/>
    <w:rPr>
      <w:rFonts w:ascii="Wingdings" w:hAnsi="Wingdings"/>
    </w:rPr>
  </w:style>
  <w:style w:type="paragraph" w:customStyle="1" w:styleId="TableHeading">
    <w:name w:val="Table Heading"/>
    <w:basedOn w:val="HeadingBase"/>
    <w:rsid w:val="00F16291"/>
    <w:pPr>
      <w:keepLines/>
      <w:pBdr>
        <w:bottom w:val="single" w:sz="6" w:space="1" w:color="918585"/>
      </w:pBdr>
      <w:spacing w:before="240"/>
    </w:pPr>
  </w:style>
  <w:style w:type="character" w:customStyle="1" w:styleId="HotSpot">
    <w:name w:val="HotSpot"/>
    <w:rsid w:val="00F16291"/>
    <w:rPr>
      <w:color w:val="0033CC"/>
      <w:u w:val="none"/>
    </w:rPr>
  </w:style>
  <w:style w:type="paragraph" w:customStyle="1" w:styleId="BodyTextRight">
    <w:name w:val="Body Text Right"/>
    <w:basedOn w:val="BodyText"/>
    <w:rsid w:val="00F16291"/>
    <w:pPr>
      <w:spacing w:before="0" w:after="0"/>
      <w:jc w:val="right"/>
    </w:pPr>
  </w:style>
  <w:style w:type="paragraph" w:styleId="Index3">
    <w:name w:val="index 3"/>
    <w:basedOn w:val="ListNumber2"/>
    <w:next w:val="Normal"/>
    <w:semiHidden/>
    <w:rsid w:val="00F16291"/>
    <w:pPr>
      <w:numPr>
        <w:numId w:val="0"/>
      </w:numPr>
      <w:tabs>
        <w:tab w:val="right" w:leader="dot" w:pos="4176"/>
      </w:tabs>
    </w:pPr>
  </w:style>
  <w:style w:type="paragraph" w:styleId="ListNumber2">
    <w:name w:val="List Number 2"/>
    <w:basedOn w:val="List2"/>
    <w:rsid w:val="00F16291"/>
    <w:pPr>
      <w:numPr>
        <w:numId w:val="9"/>
      </w:numPr>
      <w:tabs>
        <w:tab w:val="clear" w:pos="1060"/>
      </w:tabs>
    </w:pPr>
  </w:style>
  <w:style w:type="paragraph" w:customStyle="1" w:styleId="MarginNote">
    <w:name w:val="Margin Note"/>
    <w:basedOn w:val="BodyText"/>
    <w:rsid w:val="00F16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291"/>
    <w:rPr>
      <w:sz w:val="32"/>
    </w:rPr>
  </w:style>
  <w:style w:type="paragraph" w:customStyle="1" w:styleId="HeadingProcedure">
    <w:name w:val="Heading Procedure"/>
    <w:basedOn w:val="HeadingBase"/>
    <w:next w:val="Normal"/>
    <w:rsid w:val="00F16291"/>
    <w:pPr>
      <w:tabs>
        <w:tab w:val="left" w:pos="0"/>
      </w:tabs>
      <w:spacing w:before="120" w:after="60"/>
    </w:pPr>
    <w:rPr>
      <w:i/>
      <w:color w:val="918585"/>
      <w:sz w:val="22"/>
    </w:rPr>
  </w:style>
  <w:style w:type="paragraph" w:customStyle="1" w:styleId="TableBodyText">
    <w:name w:val="Table Body Text"/>
    <w:basedOn w:val="BodyText"/>
    <w:rsid w:val="00F16291"/>
    <w:pPr>
      <w:spacing w:before="60" w:after="60"/>
    </w:pPr>
  </w:style>
  <w:style w:type="paragraph" w:styleId="ListContinue">
    <w:name w:val="List Continue"/>
    <w:basedOn w:val="List"/>
    <w:rsid w:val="00F16291"/>
    <w:pPr>
      <w:ind w:firstLine="0"/>
    </w:pPr>
  </w:style>
  <w:style w:type="paragraph" w:customStyle="1" w:styleId="ListNote">
    <w:name w:val="List Note"/>
    <w:basedOn w:val="List"/>
    <w:rsid w:val="00F16291"/>
    <w:pPr>
      <w:pBdr>
        <w:top w:val="single" w:sz="6" w:space="2" w:color="918585"/>
        <w:bottom w:val="single" w:sz="6" w:space="2" w:color="918585"/>
      </w:pBdr>
      <w:tabs>
        <w:tab w:val="left" w:pos="1021"/>
      </w:tabs>
      <w:ind w:firstLine="0"/>
    </w:pPr>
  </w:style>
  <w:style w:type="paragraph" w:customStyle="1" w:styleId="Warning">
    <w:name w:val="Warning"/>
    <w:basedOn w:val="BodyText"/>
    <w:rsid w:val="00F16291"/>
    <w:pPr>
      <w:shd w:val="clear" w:color="auto" w:fill="D9D9D9"/>
      <w:tabs>
        <w:tab w:val="left" w:pos="992"/>
      </w:tabs>
      <w:ind w:left="119" w:right="119"/>
    </w:pPr>
    <w:rPr>
      <w:sz w:val="20"/>
    </w:rPr>
  </w:style>
  <w:style w:type="paragraph" w:customStyle="1" w:styleId="MarginIcons">
    <w:name w:val="Margin Icons"/>
    <w:basedOn w:val="BodyText"/>
    <w:rsid w:val="00F16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291"/>
    <w:rPr>
      <w:rFonts w:ascii="Courier New" w:hAnsi="Courier New"/>
    </w:rPr>
  </w:style>
  <w:style w:type="paragraph" w:customStyle="1" w:styleId="NoteBullet">
    <w:name w:val="Note Bullet"/>
    <w:basedOn w:val="Note"/>
    <w:rsid w:val="00F16291"/>
    <w:pPr>
      <w:tabs>
        <w:tab w:val="clear" w:pos="680"/>
      </w:tabs>
      <w:spacing w:before="60" w:after="60"/>
    </w:pPr>
  </w:style>
  <w:style w:type="paragraph" w:customStyle="1" w:styleId="SubHeading2">
    <w:name w:val="SubHeading2"/>
    <w:basedOn w:val="HeadingBase"/>
    <w:rsid w:val="00F16291"/>
    <w:pPr>
      <w:spacing w:before="240" w:after="60"/>
    </w:pPr>
    <w:rPr>
      <w:sz w:val="20"/>
    </w:rPr>
  </w:style>
  <w:style w:type="paragraph" w:customStyle="1" w:styleId="SubHeading1">
    <w:name w:val="SubHeading1"/>
    <w:basedOn w:val="HeadingBase"/>
    <w:rsid w:val="00F16291"/>
    <w:pPr>
      <w:spacing w:before="240" w:after="60"/>
    </w:pPr>
    <w:rPr>
      <w:color w:val="918585"/>
      <w:sz w:val="22"/>
    </w:rPr>
  </w:style>
  <w:style w:type="paragraph" w:customStyle="1" w:styleId="SideHeading">
    <w:name w:val="Side Heading"/>
    <w:basedOn w:val="HeadingBase"/>
    <w:rsid w:val="00F16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291"/>
    <w:pPr>
      <w:tabs>
        <w:tab w:val="num" w:pos="360"/>
      </w:tabs>
    </w:pPr>
  </w:style>
  <w:style w:type="paragraph" w:styleId="PlainText">
    <w:name w:val="Plain Text"/>
    <w:basedOn w:val="Normal"/>
    <w:link w:val="PlainTextChar"/>
    <w:rsid w:val="00F16291"/>
    <w:rPr>
      <w:sz w:val="20"/>
    </w:rPr>
  </w:style>
  <w:style w:type="character" w:customStyle="1" w:styleId="PlainTextChar">
    <w:name w:val="Plain Text Char"/>
    <w:basedOn w:val="DefaultParagraphFont"/>
    <w:link w:val="PlainText"/>
    <w:rsid w:val="00F16291"/>
    <w:rPr>
      <w:rFonts w:ascii="Courier New" w:eastAsia="Times New Roman" w:hAnsi="Courier New" w:cs="Times New Roman"/>
      <w:sz w:val="20"/>
      <w:szCs w:val="20"/>
      <w:lang w:eastAsia="en-US"/>
    </w:rPr>
  </w:style>
  <w:style w:type="character" w:customStyle="1" w:styleId="MenuOption">
    <w:name w:val="Menu Option"/>
    <w:basedOn w:val="DefaultParagraphFont"/>
    <w:rsid w:val="00F16291"/>
    <w:rPr>
      <w:b/>
      <w:smallCaps/>
    </w:rPr>
  </w:style>
  <w:style w:type="paragraph" w:customStyle="1" w:styleId="TableListNumber">
    <w:name w:val="Table List Number"/>
    <w:basedOn w:val="ListNumber"/>
    <w:rsid w:val="00F16291"/>
    <w:pPr>
      <w:numPr>
        <w:numId w:val="0"/>
      </w:numPr>
    </w:pPr>
  </w:style>
  <w:style w:type="paragraph" w:styleId="TOC4">
    <w:name w:val="toc 4"/>
    <w:basedOn w:val="TOCBase"/>
    <w:next w:val="Normal"/>
    <w:semiHidden/>
    <w:rsid w:val="00F16291"/>
    <w:pPr>
      <w:tabs>
        <w:tab w:val="right" w:leader="dot" w:pos="9071"/>
      </w:tabs>
      <w:ind w:left="1701"/>
    </w:pPr>
  </w:style>
  <w:style w:type="paragraph" w:customStyle="1" w:styleId="ListAlpha">
    <w:name w:val="List Alpha"/>
    <w:basedOn w:val="List"/>
    <w:rsid w:val="00F16291"/>
    <w:pPr>
      <w:numPr>
        <w:numId w:val="8"/>
      </w:numPr>
    </w:pPr>
  </w:style>
  <w:style w:type="paragraph" w:customStyle="1" w:styleId="ListAlpha2">
    <w:name w:val="List Alpha 2"/>
    <w:basedOn w:val="List2"/>
    <w:rsid w:val="00F16291"/>
    <w:pPr>
      <w:numPr>
        <w:numId w:val="7"/>
      </w:numPr>
    </w:pPr>
  </w:style>
  <w:style w:type="paragraph" w:styleId="List2">
    <w:name w:val="List 2"/>
    <w:basedOn w:val="BodyText"/>
    <w:rsid w:val="00F16291"/>
    <w:pPr>
      <w:tabs>
        <w:tab w:val="left" w:pos="680"/>
      </w:tabs>
      <w:spacing w:before="60" w:after="60"/>
      <w:ind w:left="680" w:hanging="340"/>
    </w:pPr>
  </w:style>
  <w:style w:type="paragraph" w:styleId="List3">
    <w:name w:val="List 3"/>
    <w:basedOn w:val="BodyText"/>
    <w:rsid w:val="00F16291"/>
    <w:pPr>
      <w:tabs>
        <w:tab w:val="left" w:pos="1021"/>
      </w:tabs>
      <w:spacing w:before="60" w:after="60"/>
      <w:ind w:left="1020" w:hanging="340"/>
    </w:pPr>
  </w:style>
  <w:style w:type="paragraph" w:styleId="List4">
    <w:name w:val="List 4"/>
    <w:basedOn w:val="BodyText"/>
    <w:rsid w:val="00F16291"/>
    <w:pPr>
      <w:tabs>
        <w:tab w:val="left" w:pos="1361"/>
      </w:tabs>
      <w:spacing w:before="60" w:after="60"/>
      <w:ind w:left="1361" w:hanging="340"/>
    </w:pPr>
  </w:style>
  <w:style w:type="paragraph" w:styleId="List5">
    <w:name w:val="List 5"/>
    <w:basedOn w:val="BodyText"/>
    <w:rsid w:val="00F16291"/>
    <w:pPr>
      <w:tabs>
        <w:tab w:val="left" w:pos="1701"/>
      </w:tabs>
      <w:spacing w:before="60" w:after="60"/>
      <w:ind w:left="1701" w:hanging="340"/>
    </w:pPr>
  </w:style>
  <w:style w:type="paragraph" w:styleId="ListBullet3">
    <w:name w:val="List Bullet 3"/>
    <w:basedOn w:val="List3"/>
    <w:rsid w:val="00F16291"/>
    <w:pPr>
      <w:numPr>
        <w:numId w:val="14"/>
      </w:numPr>
      <w:tabs>
        <w:tab w:val="clear" w:pos="1021"/>
      </w:tabs>
      <w:ind w:left="1037" w:hanging="357"/>
    </w:pPr>
  </w:style>
  <w:style w:type="paragraph" w:styleId="ListBullet4">
    <w:name w:val="List Bullet 4"/>
    <w:basedOn w:val="List4"/>
    <w:rsid w:val="00F16291"/>
    <w:pPr>
      <w:numPr>
        <w:numId w:val="2"/>
      </w:numPr>
      <w:tabs>
        <w:tab w:val="clear" w:pos="1361"/>
      </w:tabs>
    </w:pPr>
  </w:style>
  <w:style w:type="paragraph" w:styleId="ListBullet5">
    <w:name w:val="List Bullet 5"/>
    <w:basedOn w:val="List5"/>
    <w:rsid w:val="00F16291"/>
    <w:pPr>
      <w:numPr>
        <w:numId w:val="3"/>
      </w:numPr>
    </w:pPr>
  </w:style>
  <w:style w:type="paragraph" w:styleId="ListContinue2">
    <w:name w:val="List Continue 2"/>
    <w:basedOn w:val="List2"/>
    <w:rsid w:val="00F16291"/>
    <w:pPr>
      <w:ind w:firstLine="0"/>
    </w:pPr>
  </w:style>
  <w:style w:type="paragraph" w:styleId="ListContinue3">
    <w:name w:val="List Continue 3"/>
    <w:basedOn w:val="List3"/>
    <w:rsid w:val="00F16291"/>
    <w:pPr>
      <w:ind w:left="1021" w:firstLine="0"/>
    </w:pPr>
  </w:style>
  <w:style w:type="paragraph" w:styleId="ListContinue4">
    <w:name w:val="List Continue 4"/>
    <w:basedOn w:val="List4"/>
    <w:rsid w:val="00F16291"/>
    <w:pPr>
      <w:ind w:firstLine="0"/>
    </w:pPr>
  </w:style>
  <w:style w:type="paragraph" w:styleId="ListContinue5">
    <w:name w:val="List Continue 5"/>
    <w:basedOn w:val="List5"/>
    <w:rsid w:val="00F16291"/>
    <w:pPr>
      <w:ind w:firstLine="0"/>
    </w:pPr>
  </w:style>
  <w:style w:type="paragraph" w:styleId="ListNumber3">
    <w:name w:val="List Number 3"/>
    <w:basedOn w:val="List3"/>
    <w:rsid w:val="00F16291"/>
    <w:pPr>
      <w:numPr>
        <w:numId w:val="4"/>
      </w:numPr>
    </w:pPr>
  </w:style>
  <w:style w:type="paragraph" w:styleId="ListNumber4">
    <w:name w:val="List Number 4"/>
    <w:basedOn w:val="List4"/>
    <w:rsid w:val="00F16291"/>
    <w:pPr>
      <w:numPr>
        <w:numId w:val="5"/>
      </w:numPr>
    </w:pPr>
  </w:style>
  <w:style w:type="paragraph" w:styleId="ListNumber5">
    <w:name w:val="List Number 5"/>
    <w:basedOn w:val="List5"/>
    <w:rsid w:val="00F16291"/>
    <w:pPr>
      <w:numPr>
        <w:numId w:val="6"/>
      </w:numPr>
    </w:pPr>
  </w:style>
  <w:style w:type="paragraph" w:styleId="BlockText">
    <w:name w:val="Block Text"/>
    <w:basedOn w:val="Normal"/>
    <w:rsid w:val="00F16291"/>
    <w:pPr>
      <w:spacing w:after="120"/>
      <w:ind w:left="1440" w:right="1440"/>
    </w:pPr>
  </w:style>
  <w:style w:type="character" w:customStyle="1" w:styleId="Subscript">
    <w:name w:val="Subscript"/>
    <w:basedOn w:val="DefaultParagraphFont"/>
    <w:rsid w:val="00F16291"/>
    <w:rPr>
      <w:sz w:val="16"/>
      <w:vertAlign w:val="subscript"/>
    </w:rPr>
  </w:style>
  <w:style w:type="character" w:customStyle="1" w:styleId="Superscript">
    <w:name w:val="Superscript"/>
    <w:basedOn w:val="DefaultParagraphFont"/>
    <w:rsid w:val="00F16291"/>
    <w:rPr>
      <w:sz w:val="16"/>
      <w:vertAlign w:val="superscript"/>
    </w:rPr>
  </w:style>
  <w:style w:type="character" w:customStyle="1" w:styleId="MenuOptions">
    <w:name w:val="Menu Options"/>
    <w:basedOn w:val="DefaultParagraphFont"/>
    <w:rsid w:val="00F16291"/>
    <w:rPr>
      <w:rFonts w:ascii="Arial Narrow" w:hAnsi="Arial Narrow"/>
      <w:smallCaps/>
    </w:rPr>
  </w:style>
  <w:style w:type="character" w:customStyle="1" w:styleId="Buttons">
    <w:name w:val="Buttons"/>
    <w:basedOn w:val="DefaultParagraphFont"/>
    <w:rsid w:val="00F16291"/>
    <w:rPr>
      <w:b/>
    </w:rPr>
  </w:style>
  <w:style w:type="character" w:customStyle="1" w:styleId="Underlined">
    <w:name w:val="Underlined"/>
    <w:basedOn w:val="DefaultParagraphFont"/>
    <w:rsid w:val="00F16291"/>
    <w:rPr>
      <w:u w:val="single"/>
    </w:rPr>
  </w:style>
  <w:style w:type="paragraph" w:customStyle="1" w:styleId="TableBodyTextRight">
    <w:name w:val="Table Body Text Right"/>
    <w:basedOn w:val="TableBodyText"/>
    <w:rsid w:val="00F16291"/>
    <w:pPr>
      <w:widowControl w:val="0"/>
      <w:autoSpaceDE w:val="0"/>
      <w:autoSpaceDN w:val="0"/>
      <w:adjustRightInd w:val="0"/>
      <w:jc w:val="right"/>
    </w:pPr>
    <w:rPr>
      <w:rFonts w:cs="Arial"/>
      <w:szCs w:val="18"/>
    </w:rPr>
  </w:style>
  <w:style w:type="paragraph" w:customStyle="1" w:styleId="CopyrightText">
    <w:name w:val="Copyright Text"/>
    <w:basedOn w:val="BodyText"/>
    <w:rsid w:val="00F16291"/>
    <w:rPr>
      <w:sz w:val="18"/>
    </w:rPr>
  </w:style>
  <w:style w:type="paragraph" w:customStyle="1" w:styleId="BodySmallRight">
    <w:name w:val="Body Small Right"/>
    <w:basedOn w:val="BodyTextRight"/>
    <w:rsid w:val="00F16291"/>
    <w:rPr>
      <w:sz w:val="18"/>
      <w:szCs w:val="18"/>
    </w:rPr>
  </w:style>
  <w:style w:type="paragraph" w:customStyle="1" w:styleId="MarginEdition">
    <w:name w:val="Margin Edition"/>
    <w:basedOn w:val="MarginNote"/>
    <w:rsid w:val="00F16291"/>
    <w:pPr>
      <w:spacing w:before="0" w:after="0"/>
    </w:pPr>
    <w:rPr>
      <w:rFonts w:ascii="Times New Roman" w:hAnsi="Times New Roman"/>
      <w:color w:val="999999"/>
    </w:rPr>
  </w:style>
  <w:style w:type="paragraph" w:customStyle="1" w:styleId="Spacer">
    <w:name w:val="Spacer"/>
    <w:basedOn w:val="Normal"/>
    <w:rsid w:val="00F16291"/>
    <w:rPr>
      <w:sz w:val="2"/>
      <w:szCs w:val="2"/>
    </w:rPr>
  </w:style>
  <w:style w:type="character" w:customStyle="1" w:styleId="Small">
    <w:name w:val="Small"/>
    <w:basedOn w:val="DefaultParagraphFont"/>
    <w:rsid w:val="00F16291"/>
    <w:rPr>
      <w:sz w:val="16"/>
    </w:rPr>
  </w:style>
  <w:style w:type="paragraph" w:customStyle="1" w:styleId="WideTable">
    <w:name w:val="Wide Table"/>
    <w:basedOn w:val="Normal"/>
    <w:rsid w:val="00F16291"/>
    <w:pPr>
      <w:ind w:left="-1418"/>
    </w:pPr>
    <w:rPr>
      <w:sz w:val="2"/>
      <w:szCs w:val="2"/>
    </w:rPr>
  </w:style>
  <w:style w:type="character" w:styleId="PageNumber">
    <w:name w:val="page number"/>
    <w:basedOn w:val="DefaultParagraphFont"/>
    <w:rsid w:val="00F16291"/>
  </w:style>
  <w:style w:type="paragraph" w:styleId="Quote">
    <w:name w:val="Quote"/>
    <w:basedOn w:val="Heading1"/>
    <w:link w:val="QuoteChar"/>
    <w:qFormat/>
    <w:rsid w:val="00F16291"/>
    <w:rPr>
      <w:b w:val="0"/>
      <w:sz w:val="72"/>
      <w:szCs w:val="72"/>
      <w:lang w:val="en-NZ"/>
    </w:rPr>
  </w:style>
  <w:style w:type="character" w:customStyle="1" w:styleId="QuoteChar">
    <w:name w:val="Quote Char"/>
    <w:basedOn w:val="DefaultParagraphFont"/>
    <w:link w:val="Quote"/>
    <w:rsid w:val="00F16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291"/>
    <w:pPr>
      <w:pageBreakBefore/>
    </w:pPr>
  </w:style>
  <w:style w:type="paragraph" w:customStyle="1" w:styleId="Border">
    <w:name w:val="Border"/>
    <w:basedOn w:val="Normal"/>
    <w:qFormat/>
    <w:rsid w:val="00F16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291"/>
    <w:rPr>
      <w:b/>
      <w:bCs/>
      <w:i/>
      <w:iCs/>
      <w:color w:val="auto"/>
    </w:rPr>
  </w:style>
  <w:style w:type="paragraph" w:styleId="IntenseQuote">
    <w:name w:val="Intense Quote"/>
    <w:basedOn w:val="Normal"/>
    <w:next w:val="Normal"/>
    <w:link w:val="IntenseQuoteChar"/>
    <w:uiPriority w:val="30"/>
    <w:qFormat/>
    <w:rsid w:val="00F16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291"/>
    <w:rPr>
      <w:smallCaps/>
      <w:color w:val="auto"/>
      <w:u w:val="single"/>
    </w:rPr>
  </w:style>
  <w:style w:type="character" w:styleId="IntenseReference">
    <w:name w:val="Intense Reference"/>
    <w:basedOn w:val="DefaultParagraphFont"/>
    <w:uiPriority w:val="32"/>
    <w:qFormat/>
    <w:rsid w:val="00F16291"/>
    <w:rPr>
      <w:b/>
      <w:bCs/>
      <w:smallCaps/>
      <w:color w:val="auto"/>
      <w:spacing w:val="5"/>
      <w:u w:val="single"/>
    </w:rPr>
  </w:style>
  <w:style w:type="paragraph" w:customStyle="1" w:styleId="2ColumnHeading">
    <w:name w:val="2Column Heading"/>
    <w:basedOn w:val="BodyText"/>
    <w:qFormat/>
    <w:rsid w:val="00F16291"/>
    <w:pPr>
      <w:spacing w:after="60"/>
      <w:ind w:left="-2268"/>
    </w:pPr>
    <w:rPr>
      <w:b/>
    </w:rPr>
  </w:style>
  <w:style w:type="paragraph" w:customStyle="1" w:styleId="Heading1TOC">
    <w:name w:val="Heading1 TOC"/>
    <w:basedOn w:val="Normal"/>
    <w:qFormat/>
    <w:rsid w:val="00F16291"/>
    <w:pPr>
      <w:spacing w:before="240" w:after="120"/>
    </w:pPr>
    <w:rPr>
      <w:rFonts w:ascii="Times New Roman" w:hAnsi="Times New Roman"/>
      <w:b/>
      <w:sz w:val="32"/>
    </w:rPr>
  </w:style>
  <w:style w:type="paragraph" w:customStyle="1" w:styleId="Heading2TOC">
    <w:name w:val="Heading2 TOC"/>
    <w:basedOn w:val="Normal"/>
    <w:qFormat/>
    <w:rsid w:val="00F16291"/>
    <w:pPr>
      <w:spacing w:before="240" w:after="60"/>
    </w:pPr>
    <w:rPr>
      <w:rFonts w:ascii="Times New Roman" w:hAnsi="Times New Roman"/>
      <w:b/>
      <w:sz w:val="28"/>
    </w:rPr>
  </w:style>
  <w:style w:type="character" w:customStyle="1" w:styleId="Underline">
    <w:name w:val="Underline"/>
    <w:basedOn w:val="DefaultParagraphFont"/>
    <w:qFormat/>
    <w:rsid w:val="00F16291"/>
    <w:rPr>
      <w:u w:val="single"/>
    </w:rPr>
  </w:style>
  <w:style w:type="character" w:customStyle="1" w:styleId="BoldandItalics">
    <w:name w:val="Bold and Italics"/>
    <w:qFormat/>
    <w:rsid w:val="00F16291"/>
    <w:rPr>
      <w:b/>
      <w:i/>
      <w:u w:val="none"/>
    </w:rPr>
  </w:style>
  <w:style w:type="paragraph" w:styleId="BalloonText">
    <w:name w:val="Balloon Text"/>
    <w:basedOn w:val="Normal"/>
    <w:link w:val="BalloonTextChar"/>
    <w:rsid w:val="00F16291"/>
    <w:rPr>
      <w:rFonts w:ascii="Tahoma" w:hAnsi="Tahoma" w:cs="Tahoma"/>
      <w:sz w:val="16"/>
      <w:szCs w:val="16"/>
    </w:rPr>
  </w:style>
  <w:style w:type="character" w:customStyle="1" w:styleId="BalloonTextChar">
    <w:name w:val="Balloon Text Char"/>
    <w:basedOn w:val="DefaultParagraphFont"/>
    <w:link w:val="BalloonText"/>
    <w:rsid w:val="00F16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2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6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291"/>
    <w:rPr>
      <w:b/>
      <w:color w:val="660033"/>
      <w:spacing w:val="0"/>
    </w:rPr>
  </w:style>
  <w:style w:type="paragraph" w:customStyle="1" w:styleId="Nameditemlist">
    <w:name w:val="Named item list"/>
    <w:basedOn w:val="BodyText"/>
    <w:qFormat/>
    <w:rsid w:val="00F162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1163</Words>
  <Characters>7607</Characters>
  <Application>Microsoft Office Word</Application>
  <DocSecurity>0</DocSecurity>
  <Lines>305</Lines>
  <Paragraphs>141</Paragraphs>
  <ScaleCrop>false</ScaleCrop>
  <Company>Author-it Software Corporation Ltd.</Company>
  <LinksUpToDate>false</LinksUpToDate>
  <CharactersWithSpaces>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MSL975011 Design and supervise complex environmental field surveys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2016-06-22T08:44:00Z</dcterms:created>
  <dcterms:modified xsi:type="dcterms:W3CDTF">2016-06-22T08:44:00Z</dcterms:modified>
</cp:coreProperties>
</file>