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13E3" w:rsidP="003113E3">
      <w:pPr>
        <w:pStyle w:val="Title"/>
      </w:pPr>
      <w:r>
        <w:fldChar w:fldCharType="begin"/>
      </w:r>
      <w:r>
        <w:instrText xml:space="preserve"> TITLE   \* MERGEFORMAT </w:instrText>
      </w:r>
      <w:r>
        <w:fldChar w:fldCharType="separate"/>
      </w:r>
      <w:r>
        <w:t>MSL975010 Perform fire assay techniques</w:t>
      </w:r>
      <w:r>
        <w:fldChar w:fldCharType="end"/>
      </w:r>
    </w:p>
    <w:p w:rsidR="003113E3" w:rsidP="003113E3">
      <w:pPr>
        <w:pStyle w:val="Version"/>
        <w:sectPr w:rsidSect="00D2141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1417" w:rsidP="00D21417">
      <w:pPr>
        <w:pStyle w:val="SuperHeading"/>
      </w:pPr>
      <w:r w:rsidRPr="00D21417">
        <w:t>MSL975010 Perform fire assay techniques</w:t>
      </w:r>
    </w:p>
    <w:p w:rsidR="00000000" w:rsidRPr="00D21417" w:rsidP="00D21417">
      <w:pPr>
        <w:pStyle w:val="Heading1"/>
      </w:pPr>
      <w:bookmarkStart w:id="1" w:name="O_901689"/>
      <w:bookmarkEnd w:id="1"/>
      <w:r w:rsidRPr="00D21417">
        <w:t>Modification History</w:t>
      </w:r>
    </w:p>
    <w:p w:rsidR="00000000" w:rsidRPr="00D21417" w:rsidP="003113E3">
      <w:pPr>
        <w:pStyle w:val="BodyText"/>
      </w:pPr>
      <w:r w:rsidRPr="00D21417">
        <w:t>Release 1. Supersedes and is equivalent to MSL975010A Perform fire assay techniques</w:t>
      </w:r>
    </w:p>
    <w:p w:rsidR="00000000" w:rsidRPr="00D21417" w:rsidP="00D21417">
      <w:pPr>
        <w:pStyle w:val="Heading1"/>
      </w:pPr>
      <w:bookmarkStart w:id="2" w:name="O_901697"/>
      <w:bookmarkEnd w:id="2"/>
      <w:r w:rsidRPr="00D21417">
        <w:t>Application</w:t>
      </w:r>
    </w:p>
    <w:p w:rsidR="00000000" w:rsidRPr="00D21417" w:rsidP="003113E3">
      <w:pPr>
        <w:pStyle w:val="BodyText"/>
      </w:pPr>
      <w:r w:rsidRPr="00D21417">
        <w:t>This unit of competency covers the ability to safely extract a range of precious metals from their host matrices in readin</w:t>
      </w:r>
      <w:r w:rsidRPr="00D21417">
        <w:t>ess for analysis. The unit also covers the ability to select and/or modify laboratory methods to suit particular ores and to ensure total recovery.</w:t>
      </w:r>
    </w:p>
    <w:p w:rsidR="00000000" w:rsidRPr="00D21417" w:rsidP="003113E3">
      <w:pPr>
        <w:pStyle w:val="BodyText"/>
      </w:pPr>
      <w:r w:rsidRPr="00D21417">
        <w:t>This unit of competency is applicable to laboratory personnel working in the mineral assay industry sector.</w:t>
      </w:r>
    </w:p>
    <w:p w:rsidR="00000000" w:rsidRPr="00D21417" w:rsidP="003113E3">
      <w:pPr>
        <w:pStyle w:val="BodyText"/>
      </w:pPr>
      <w:r w:rsidRPr="00D21417">
        <w:t>While no specific licensing or certification requirements apply to this unit at the time of publication, laboratory operations are governed by relevant legislation, regulations and/or external accreditation requirements. Local requirements should be chec</w:t>
      </w:r>
      <w:r w:rsidRPr="00D21417">
        <w:t>ked.</w:t>
      </w:r>
    </w:p>
    <w:p w:rsidR="00000000" w:rsidRPr="00D21417" w:rsidP="00D21417">
      <w:pPr>
        <w:pStyle w:val="Heading1"/>
      </w:pPr>
      <w:bookmarkStart w:id="3" w:name="O_901696"/>
      <w:bookmarkEnd w:id="3"/>
      <w:r w:rsidRPr="00D21417">
        <w:t>Pre-requisite Unit</w:t>
      </w:r>
    </w:p>
    <w:tbl>
      <w:tblPr>
        <w:tblW w:w="0" w:type="auto"/>
        <w:tblCellMar>
          <w:left w:w="62" w:type="dxa"/>
          <w:right w:w="62" w:type="dxa"/>
        </w:tblCellMar>
        <w:tblLook w:val="0000"/>
      </w:tblPr>
      <w:tblGrid>
        <w:gridCol w:w="2309"/>
        <w:gridCol w:w="6887"/>
      </w:tblGrid>
      <w:tr w:rsidTr="003113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1417">
            <w:pPr>
              <w:pStyle w:val="BodyText"/>
              <w:rPr>
                <w:lang w:val="en-NZ"/>
              </w:rPr>
            </w:pPr>
            <w:r w:rsidRPr="00D21417">
              <w:t>MSL973011</w:t>
            </w:r>
          </w:p>
        </w:tc>
        <w:tc>
          <w:tcPr>
            <w:tcW w:w="0" w:type="auto"/>
            <w:tcBorders>
              <w:top w:val="nil"/>
              <w:left w:val="nil"/>
              <w:bottom w:val="nil"/>
              <w:right w:val="nil"/>
            </w:tcBorders>
            <w:tcMar>
              <w:top w:w="0" w:type="dxa"/>
              <w:left w:w="62" w:type="dxa"/>
              <w:bottom w:w="0" w:type="dxa"/>
              <w:right w:w="62" w:type="dxa"/>
            </w:tcMar>
          </w:tcPr>
          <w:p w:rsidR="00000000" w:rsidP="00D21417">
            <w:pPr>
              <w:pStyle w:val="BodyText"/>
              <w:rPr>
                <w:lang w:val="en-NZ"/>
              </w:rPr>
            </w:pPr>
            <w:r w:rsidRPr="00D21417">
              <w:t>Perform fire pouring techniques</w:t>
            </w:r>
          </w:p>
        </w:tc>
      </w:tr>
      <w:tr w:rsidTr="003113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1417">
            <w:pPr>
              <w:pStyle w:val="BodyText"/>
              <w:rPr>
                <w:lang w:val="en-NZ"/>
              </w:rPr>
            </w:pPr>
            <w:r w:rsidRPr="00D21417">
              <w:rPr>
                <w:rStyle w:val="SpecialBold"/>
              </w:rPr>
              <w:t>OR</w:t>
            </w:r>
          </w:p>
        </w:tc>
        <w:tc>
          <w:tcPr>
            <w:tcW w:w="0" w:type="auto"/>
            <w:tcBorders>
              <w:top w:val="nil"/>
              <w:left w:val="nil"/>
              <w:bottom w:val="nil"/>
              <w:right w:val="nil"/>
            </w:tcBorders>
            <w:tcMar>
              <w:top w:w="0" w:type="dxa"/>
              <w:left w:w="62" w:type="dxa"/>
              <w:bottom w:w="0" w:type="dxa"/>
              <w:right w:w="62" w:type="dxa"/>
            </w:tcMar>
          </w:tcPr>
          <w:p w:rsidR="00000000" w:rsidP="00D21417">
            <w:pPr>
              <w:pStyle w:val="BodyText"/>
              <w:rPr>
                <w:lang w:val="en-NZ"/>
              </w:rPr>
            </w:pPr>
          </w:p>
        </w:tc>
      </w:tr>
      <w:tr w:rsidTr="003113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1417">
            <w:pPr>
              <w:pStyle w:val="BodyText"/>
              <w:rPr>
                <w:lang w:val="en-NZ"/>
              </w:rPr>
            </w:pPr>
            <w:r w:rsidRPr="00D21417">
              <w:t>MSL954002</w:t>
            </w:r>
          </w:p>
        </w:tc>
        <w:tc>
          <w:tcPr>
            <w:tcW w:w="0" w:type="auto"/>
            <w:tcBorders>
              <w:top w:val="nil"/>
              <w:left w:val="nil"/>
              <w:bottom w:val="nil"/>
              <w:right w:val="nil"/>
            </w:tcBorders>
            <w:tcMar>
              <w:top w:w="0" w:type="dxa"/>
              <w:left w:w="62" w:type="dxa"/>
              <w:bottom w:w="0" w:type="dxa"/>
              <w:right w:w="62" w:type="dxa"/>
            </w:tcMar>
          </w:tcPr>
          <w:p w:rsidR="00000000" w:rsidRPr="00D21417" w:rsidP="00D21417">
            <w:pPr>
              <w:pStyle w:val="BodyText"/>
            </w:pPr>
            <w:r w:rsidRPr="00D21417">
              <w:t>Prepare mineral samples for analysis</w:t>
            </w:r>
          </w:p>
        </w:tc>
      </w:tr>
    </w:tbl>
    <w:p w:rsidR="00000000" w:rsidRPr="00D21417" w:rsidP="00D21417">
      <w:pPr>
        <w:pStyle w:val="BodyText"/>
      </w:pPr>
    </w:p>
    <w:p w:rsidR="00000000" w:rsidRPr="00D21417" w:rsidP="00D21417">
      <w:pPr>
        <w:pStyle w:val="AllowPageBreak"/>
      </w:pPr>
    </w:p>
    <w:p w:rsidR="00000000" w:rsidRPr="00D21417" w:rsidP="00D21417">
      <w:pPr>
        <w:pStyle w:val="Heading1"/>
      </w:pPr>
      <w:bookmarkStart w:id="4" w:name="O_901695"/>
      <w:bookmarkEnd w:id="4"/>
      <w:r w:rsidRPr="00D21417">
        <w:t>Competency Field</w:t>
      </w:r>
    </w:p>
    <w:p w:rsidR="00000000" w:rsidRPr="00D21417" w:rsidP="003113E3">
      <w:pPr>
        <w:pStyle w:val="BodyText"/>
      </w:pPr>
      <w:r w:rsidRPr="00D21417">
        <w:t>Testing</w:t>
      </w:r>
    </w:p>
    <w:p w:rsidR="00000000" w:rsidRPr="00D21417" w:rsidP="00D21417">
      <w:pPr>
        <w:pStyle w:val="Heading1"/>
      </w:pPr>
      <w:bookmarkStart w:id="5" w:name="O_901694"/>
      <w:bookmarkEnd w:id="5"/>
      <w:r w:rsidRPr="00D21417">
        <w:t>Unit Sector</w:t>
      </w:r>
    </w:p>
    <w:p w:rsidR="00000000" w:rsidRPr="00D21417" w:rsidP="00D21417">
      <w:pPr>
        <w:pStyle w:val="Heading1"/>
      </w:pPr>
      <w:bookmarkStart w:id="6" w:name="O_901693"/>
      <w:bookmarkEnd w:id="6"/>
      <w:r w:rsidRPr="00D2141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2141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21417">
            <w:pPr>
              <w:pStyle w:val="BodyText"/>
              <w:rPr>
                <w:lang w:val="en-NZ"/>
              </w:rPr>
            </w:pPr>
            <w:r w:rsidRPr="00D21417">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21417">
            <w:pPr>
              <w:pStyle w:val="BodyText"/>
              <w:rPr>
                <w:lang w:val="en-NZ"/>
              </w:rPr>
            </w:pPr>
            <w:r w:rsidRPr="00D21417">
              <w:t>Performance criteria describe the performance needed to demonstrate achievement of the element.</w:t>
            </w:r>
          </w:p>
        </w:tc>
      </w:tr>
      <w:tr w:rsidTr="00D214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21417" w:rsidP="00D21417">
            <w:pPr>
              <w:pStyle w:val="BodyText"/>
            </w:pPr>
            <w:r w:rsidRPr="00D21417">
              <w:t>1</w:t>
            </w:r>
          </w:p>
        </w:tc>
        <w:tc>
          <w:tcPr>
            <w:tcW w:w="1962" w:type="dxa"/>
            <w:vMerge w:val="restart"/>
            <w:tcBorders>
              <w:top w:val="nil"/>
              <w:left w:val="nil"/>
              <w:bottom w:val="nil"/>
              <w:right w:val="nil"/>
            </w:tcBorders>
            <w:tcMar>
              <w:top w:w="0" w:type="dxa"/>
              <w:left w:w="62" w:type="dxa"/>
              <w:bottom w:w="0" w:type="dxa"/>
              <w:right w:w="62" w:type="dxa"/>
            </w:tcMar>
          </w:tcPr>
          <w:p w:rsidR="00000000" w:rsidP="00D21417">
            <w:pPr>
              <w:pStyle w:val="BodyText"/>
              <w:rPr>
                <w:lang w:val="en-NZ"/>
              </w:rPr>
            </w:pPr>
            <w:r w:rsidRPr="00D21417">
              <w:rPr>
                <w:rStyle w:val="SpecialBold"/>
              </w:rPr>
              <w:t xml:space="preserve">Classify ore samples and </w:t>
            </w:r>
            <w:r w:rsidRPr="00D21417">
              <w:rPr>
                <w:rStyle w:val="SpecialBold"/>
              </w:rPr>
              <w:t>select fluxing method</w:t>
            </w:r>
          </w:p>
        </w:tc>
        <w:tc>
          <w:tcPr>
            <w:tcW w:w="770" w:type="dxa"/>
            <w:tcBorders>
              <w:top w:val="nil"/>
              <w:left w:val="nil"/>
              <w:bottom w:val="nil"/>
              <w:right w:val="nil"/>
            </w:tcBorders>
            <w:tcMar>
              <w:top w:w="0" w:type="dxa"/>
              <w:left w:w="62" w:type="dxa"/>
              <w:bottom w:w="0" w:type="dxa"/>
              <w:right w:w="62" w:type="dxa"/>
            </w:tcMar>
          </w:tcPr>
          <w:p w:rsidR="00000000" w:rsidP="00D21417">
            <w:pPr>
              <w:pStyle w:val="BodyText"/>
              <w:rPr>
                <w:lang w:val="en-NZ"/>
              </w:rPr>
            </w:pPr>
            <w:r w:rsidRPr="00D21417">
              <w:t>1.1</w:t>
            </w:r>
          </w:p>
        </w:tc>
        <w:tc>
          <w:tcPr>
            <w:tcW w:w="5610" w:type="dxa"/>
            <w:tcBorders>
              <w:top w:val="nil"/>
              <w:left w:val="nil"/>
              <w:bottom w:val="nil"/>
              <w:right w:val="nil"/>
            </w:tcBorders>
            <w:tcMar>
              <w:top w:w="0" w:type="dxa"/>
              <w:left w:w="62" w:type="dxa"/>
              <w:bottom w:w="0" w:type="dxa"/>
              <w:right w:w="62" w:type="dxa"/>
            </w:tcMar>
          </w:tcPr>
          <w:p w:rsidR="00000000" w:rsidP="00D21417">
            <w:pPr>
              <w:pStyle w:val="BodyText"/>
              <w:rPr>
                <w:lang w:val="en-NZ"/>
              </w:rPr>
            </w:pPr>
            <w:r w:rsidRPr="00D21417">
              <w:t xml:space="preserve">Review client request to identify sample/analysis requirements, preparation methods and equipment </w:t>
            </w:r>
            <w:r w:rsidRPr="00D21417">
              <w:t>involved</w:t>
            </w:r>
          </w:p>
        </w:tc>
      </w:tr>
      <w:tr w:rsidTr="00D214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1417">
            <w:pPr>
              <w:pStyle w:val="BodyText"/>
              <w:rPr>
                <w:lang w:val="en-NZ"/>
              </w:rPr>
            </w:pPr>
            <w:r w:rsidRPr="00D21417">
              <w:t>1.2</w:t>
            </w:r>
          </w:p>
        </w:tc>
        <w:tc>
          <w:tcPr>
            <w:tcW w:w="5610" w:type="dxa"/>
            <w:tcBorders>
              <w:top w:val="nil"/>
              <w:left w:val="nil"/>
              <w:bottom w:val="nil"/>
              <w:right w:val="nil"/>
            </w:tcBorders>
            <w:tcMar>
              <w:top w:w="0" w:type="dxa"/>
              <w:left w:w="62" w:type="dxa"/>
              <w:bottom w:w="0" w:type="dxa"/>
              <w:right w:w="62" w:type="dxa"/>
            </w:tcMar>
          </w:tcPr>
          <w:p w:rsidR="00000000" w:rsidP="00D21417">
            <w:pPr>
              <w:pStyle w:val="BodyText"/>
              <w:rPr>
                <w:lang w:val="en-NZ"/>
              </w:rPr>
            </w:pPr>
            <w:r w:rsidRPr="00D21417">
              <w:t>Inspect samples, compare with specifications, record and report any discrepancies</w:t>
            </w:r>
          </w:p>
        </w:tc>
      </w:tr>
      <w:tr w:rsidTr="00D214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1417">
            <w:pPr>
              <w:pStyle w:val="BodyText"/>
              <w:rPr>
                <w:lang w:val="en-NZ"/>
              </w:rPr>
            </w:pPr>
            <w:r w:rsidRPr="00D21417">
              <w:t>1.3</w:t>
            </w:r>
          </w:p>
        </w:tc>
        <w:tc>
          <w:tcPr>
            <w:tcW w:w="5610" w:type="dxa"/>
            <w:tcBorders>
              <w:top w:val="nil"/>
              <w:left w:val="nil"/>
              <w:bottom w:val="nil"/>
              <w:right w:val="nil"/>
            </w:tcBorders>
            <w:tcMar>
              <w:top w:w="0" w:type="dxa"/>
              <w:left w:w="62" w:type="dxa"/>
              <w:bottom w:w="0" w:type="dxa"/>
              <w:right w:w="62" w:type="dxa"/>
            </w:tcMar>
          </w:tcPr>
          <w:p w:rsidR="00000000" w:rsidP="00D21417">
            <w:pPr>
              <w:pStyle w:val="BodyText"/>
              <w:rPr>
                <w:lang w:val="en-NZ"/>
              </w:rPr>
            </w:pPr>
            <w:r w:rsidRPr="00D21417">
              <w:t xml:space="preserve">Conduct visual and simple chemical tests to identify </w:t>
            </w:r>
            <w:r w:rsidRPr="00D21417">
              <w:t>the type of sample and sulphide concentrations</w:t>
            </w:r>
          </w:p>
        </w:tc>
      </w:tr>
      <w:tr w:rsidTr="00D214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1417">
            <w:pPr>
              <w:pStyle w:val="BodyText"/>
              <w:rPr>
                <w:lang w:val="en-NZ"/>
              </w:rPr>
            </w:pPr>
            <w:r w:rsidRPr="00D21417">
              <w:t>1.4</w:t>
            </w:r>
          </w:p>
        </w:tc>
        <w:tc>
          <w:tcPr>
            <w:tcW w:w="5610" w:type="dxa"/>
            <w:tcBorders>
              <w:top w:val="nil"/>
              <w:left w:val="nil"/>
              <w:bottom w:val="nil"/>
              <w:right w:val="nil"/>
            </w:tcBorders>
            <w:tcMar>
              <w:top w:w="0" w:type="dxa"/>
              <w:left w:w="62" w:type="dxa"/>
              <w:bottom w:w="0" w:type="dxa"/>
              <w:right w:w="62" w:type="dxa"/>
            </w:tcMar>
          </w:tcPr>
          <w:p w:rsidR="00000000" w:rsidP="00D21417">
            <w:pPr>
              <w:pStyle w:val="BodyText"/>
              <w:rPr>
                <w:lang w:val="en-NZ"/>
              </w:rPr>
            </w:pPr>
            <w:r w:rsidRPr="00D21417">
              <w:t>Review client sample/analysis history and identify possible chemical interferences</w:t>
            </w:r>
          </w:p>
        </w:tc>
      </w:tr>
      <w:tr w:rsidTr="00D214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1417">
            <w:pPr>
              <w:pStyle w:val="BodyText"/>
              <w:rPr>
                <w:lang w:val="en-NZ"/>
              </w:rPr>
            </w:pPr>
            <w:r w:rsidRPr="00D21417">
              <w:t>1.5</w:t>
            </w:r>
          </w:p>
        </w:tc>
        <w:tc>
          <w:tcPr>
            <w:tcW w:w="5610" w:type="dxa"/>
            <w:tcBorders>
              <w:top w:val="nil"/>
              <w:left w:val="nil"/>
              <w:bottom w:val="nil"/>
              <w:right w:val="nil"/>
            </w:tcBorders>
            <w:tcMar>
              <w:top w:w="0" w:type="dxa"/>
              <w:left w:w="62" w:type="dxa"/>
              <w:bottom w:w="0" w:type="dxa"/>
              <w:right w:w="62" w:type="dxa"/>
            </w:tcMar>
          </w:tcPr>
          <w:p w:rsidR="00000000" w:rsidP="00D21417">
            <w:pPr>
              <w:pStyle w:val="BodyText"/>
              <w:rPr>
                <w:lang w:val="en-NZ"/>
              </w:rPr>
            </w:pPr>
            <w:r w:rsidRPr="00D21417">
              <w:t>Decide whether non-standard fluxing is required</w:t>
            </w:r>
          </w:p>
        </w:tc>
      </w:tr>
      <w:tr w:rsidTr="00D214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1417">
            <w:pPr>
              <w:pStyle w:val="BodyText"/>
              <w:rPr>
                <w:lang w:val="en-NZ"/>
              </w:rPr>
            </w:pPr>
            <w:r w:rsidRPr="00D21417">
              <w:t>1.6</w:t>
            </w:r>
          </w:p>
        </w:tc>
        <w:tc>
          <w:tcPr>
            <w:tcW w:w="5610" w:type="dxa"/>
            <w:tcBorders>
              <w:top w:val="nil"/>
              <w:left w:val="nil"/>
              <w:bottom w:val="nil"/>
              <w:right w:val="nil"/>
            </w:tcBorders>
            <w:tcMar>
              <w:top w:w="0" w:type="dxa"/>
              <w:left w:w="62" w:type="dxa"/>
              <w:bottom w:w="0" w:type="dxa"/>
              <w:right w:w="62" w:type="dxa"/>
            </w:tcMar>
          </w:tcPr>
          <w:p w:rsidR="00000000" w:rsidP="00D21417">
            <w:pPr>
              <w:pStyle w:val="BodyText"/>
              <w:rPr>
                <w:lang w:val="en-NZ"/>
              </w:rPr>
            </w:pPr>
            <w:r w:rsidRPr="00D21417">
              <w:t>Select sample weight and flux to optimise precious metal recovery and purity</w:t>
            </w:r>
          </w:p>
        </w:tc>
      </w:tr>
      <w:tr w:rsidTr="00D2141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21417">
            <w:pPr>
              <w:pStyle w:val="BodyText"/>
              <w:rPr>
                <w:lang w:val="en-NZ"/>
              </w:rPr>
            </w:pPr>
          </w:p>
        </w:tc>
      </w:tr>
      <w:tr w:rsidTr="00D214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21417" w:rsidP="00D21417">
            <w:pPr>
              <w:pStyle w:val="BodyText"/>
            </w:pPr>
            <w:r w:rsidRPr="00D21417">
              <w:t>2</w:t>
            </w:r>
          </w:p>
        </w:tc>
        <w:tc>
          <w:tcPr>
            <w:tcW w:w="1962" w:type="dxa"/>
            <w:vMerge w:val="restart"/>
            <w:tcBorders>
              <w:top w:val="nil"/>
              <w:left w:val="nil"/>
              <w:bottom w:val="nil"/>
              <w:right w:val="nil"/>
            </w:tcBorders>
            <w:tcMar>
              <w:top w:w="0" w:type="dxa"/>
              <w:left w:w="62" w:type="dxa"/>
              <w:bottom w:w="0" w:type="dxa"/>
              <w:right w:w="62" w:type="dxa"/>
            </w:tcMar>
          </w:tcPr>
          <w:p w:rsidR="00000000" w:rsidP="00D21417">
            <w:pPr>
              <w:pStyle w:val="BodyText"/>
              <w:rPr>
                <w:lang w:val="en-NZ"/>
              </w:rPr>
            </w:pPr>
            <w:r w:rsidRPr="00D21417">
              <w:rPr>
                <w:rStyle w:val="SpecialBold"/>
              </w:rPr>
              <w:t>Prepare for precious metal recovery</w:t>
            </w:r>
          </w:p>
        </w:tc>
        <w:tc>
          <w:tcPr>
            <w:tcW w:w="770" w:type="dxa"/>
            <w:tcBorders>
              <w:top w:val="nil"/>
              <w:left w:val="nil"/>
              <w:bottom w:val="nil"/>
              <w:right w:val="nil"/>
            </w:tcBorders>
            <w:tcMar>
              <w:top w:w="0" w:type="dxa"/>
              <w:left w:w="62" w:type="dxa"/>
              <w:bottom w:w="0" w:type="dxa"/>
              <w:right w:w="62" w:type="dxa"/>
            </w:tcMar>
          </w:tcPr>
          <w:p w:rsidR="00000000" w:rsidP="00D21417">
            <w:pPr>
              <w:pStyle w:val="BodyText"/>
              <w:rPr>
                <w:lang w:val="en-NZ"/>
              </w:rPr>
            </w:pPr>
            <w:r w:rsidRPr="00D21417">
              <w:t>2.1</w:t>
            </w:r>
          </w:p>
        </w:tc>
        <w:tc>
          <w:tcPr>
            <w:tcW w:w="5610" w:type="dxa"/>
            <w:tcBorders>
              <w:top w:val="nil"/>
              <w:left w:val="nil"/>
              <w:bottom w:val="nil"/>
              <w:right w:val="nil"/>
            </w:tcBorders>
            <w:tcMar>
              <w:top w:w="0" w:type="dxa"/>
              <w:left w:w="62" w:type="dxa"/>
              <w:bottom w:w="0" w:type="dxa"/>
              <w:right w:w="62" w:type="dxa"/>
            </w:tcMar>
          </w:tcPr>
          <w:p w:rsidR="00000000" w:rsidP="00D21417">
            <w:pPr>
              <w:pStyle w:val="BodyText"/>
              <w:rPr>
                <w:lang w:val="en-NZ"/>
              </w:rPr>
            </w:pPr>
            <w:r w:rsidRPr="00D21417">
              <w:t>Identify hazards and workplace safety procedures associated with the sample, preparation methods, reagents and equipment</w:t>
            </w:r>
          </w:p>
        </w:tc>
      </w:tr>
      <w:tr w:rsidTr="00D214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1417">
            <w:pPr>
              <w:pStyle w:val="BodyText"/>
              <w:rPr>
                <w:lang w:val="en-NZ"/>
              </w:rPr>
            </w:pPr>
            <w:r w:rsidRPr="00D21417">
              <w:t>2.2</w:t>
            </w:r>
          </w:p>
        </w:tc>
        <w:tc>
          <w:tcPr>
            <w:tcW w:w="5610" w:type="dxa"/>
            <w:tcBorders>
              <w:top w:val="nil"/>
              <w:left w:val="nil"/>
              <w:bottom w:val="nil"/>
              <w:right w:val="nil"/>
            </w:tcBorders>
            <w:tcMar>
              <w:top w:w="0" w:type="dxa"/>
              <w:left w:w="62" w:type="dxa"/>
              <w:bottom w:w="0" w:type="dxa"/>
              <w:right w:w="62" w:type="dxa"/>
            </w:tcMar>
          </w:tcPr>
          <w:p w:rsidR="00000000" w:rsidP="00D21417">
            <w:pPr>
              <w:pStyle w:val="BodyText"/>
              <w:rPr>
                <w:lang w:val="en-NZ"/>
              </w:rPr>
            </w:pPr>
            <w:r w:rsidRPr="00D21417">
              <w:t>Examine the recommended preparation method to identify the critical steps that will affect the quality of analytical results</w:t>
            </w:r>
          </w:p>
        </w:tc>
      </w:tr>
      <w:tr w:rsidTr="00D214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1417">
            <w:pPr>
              <w:pStyle w:val="BodyText"/>
              <w:rPr>
                <w:lang w:val="en-NZ"/>
              </w:rPr>
            </w:pPr>
            <w:r w:rsidRPr="00D21417">
              <w:t>2.3</w:t>
            </w:r>
          </w:p>
        </w:tc>
        <w:tc>
          <w:tcPr>
            <w:tcW w:w="5610" w:type="dxa"/>
            <w:tcBorders>
              <w:top w:val="nil"/>
              <w:left w:val="nil"/>
              <w:bottom w:val="nil"/>
              <w:right w:val="nil"/>
            </w:tcBorders>
            <w:tcMar>
              <w:top w:w="0" w:type="dxa"/>
              <w:left w:w="62" w:type="dxa"/>
              <w:bottom w:w="0" w:type="dxa"/>
              <w:right w:w="62" w:type="dxa"/>
            </w:tcMar>
          </w:tcPr>
          <w:p w:rsidR="00000000" w:rsidP="00D21417">
            <w:pPr>
              <w:pStyle w:val="BodyText"/>
              <w:rPr>
                <w:lang w:val="en-NZ"/>
              </w:rPr>
            </w:pPr>
            <w:r w:rsidRPr="00D21417">
              <w:t>Plan parallel work sequences to optimise the throughput of multiple sets of samples</w:t>
            </w:r>
          </w:p>
        </w:tc>
      </w:tr>
      <w:tr w:rsidTr="00D214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1417">
            <w:pPr>
              <w:pStyle w:val="BodyText"/>
              <w:rPr>
                <w:lang w:val="en-NZ"/>
              </w:rPr>
            </w:pPr>
            <w:r w:rsidRPr="00D21417">
              <w:t>2.4</w:t>
            </w:r>
          </w:p>
        </w:tc>
        <w:tc>
          <w:tcPr>
            <w:tcW w:w="5610" w:type="dxa"/>
            <w:tcBorders>
              <w:top w:val="nil"/>
              <w:left w:val="nil"/>
              <w:bottom w:val="nil"/>
              <w:right w:val="nil"/>
            </w:tcBorders>
            <w:tcMar>
              <w:top w:w="0" w:type="dxa"/>
              <w:left w:w="62" w:type="dxa"/>
              <w:bottom w:w="0" w:type="dxa"/>
              <w:right w:w="62" w:type="dxa"/>
            </w:tcMar>
          </w:tcPr>
          <w:p w:rsidR="00000000" w:rsidP="00D21417">
            <w:pPr>
              <w:pStyle w:val="BodyText"/>
              <w:rPr>
                <w:lang w:val="en-NZ"/>
              </w:rPr>
            </w:pPr>
            <w:r w:rsidRPr="00D21417">
              <w:t>Assemble all required equipments, materials, reagents and check they are fit for purpose</w:t>
            </w:r>
          </w:p>
        </w:tc>
      </w:tr>
      <w:tr w:rsidTr="00D2141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21417">
            <w:pPr>
              <w:pStyle w:val="BodyText"/>
              <w:rPr>
                <w:lang w:val="en-NZ"/>
              </w:rPr>
            </w:pPr>
          </w:p>
        </w:tc>
      </w:tr>
      <w:tr w:rsidTr="00D214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21417" w:rsidP="00D21417">
            <w:pPr>
              <w:pStyle w:val="BodyText"/>
            </w:pPr>
            <w:r w:rsidRPr="00D21417">
              <w:t>3</w:t>
            </w:r>
          </w:p>
        </w:tc>
        <w:tc>
          <w:tcPr>
            <w:tcW w:w="1962" w:type="dxa"/>
            <w:vMerge w:val="restart"/>
            <w:tcBorders>
              <w:top w:val="nil"/>
              <w:left w:val="nil"/>
              <w:bottom w:val="nil"/>
              <w:right w:val="nil"/>
            </w:tcBorders>
            <w:tcMar>
              <w:top w:w="0" w:type="dxa"/>
              <w:left w:w="62" w:type="dxa"/>
              <w:bottom w:w="0" w:type="dxa"/>
              <w:right w:w="62" w:type="dxa"/>
            </w:tcMar>
          </w:tcPr>
          <w:p w:rsidR="00000000" w:rsidP="00D21417">
            <w:pPr>
              <w:pStyle w:val="BodyText"/>
              <w:rPr>
                <w:lang w:val="en-NZ"/>
              </w:rPr>
            </w:pPr>
            <w:r w:rsidRPr="00D21417">
              <w:rPr>
                <w:rStyle w:val="SpecialBold"/>
              </w:rPr>
              <w:t>Recover precious metals from ore sample</w:t>
            </w:r>
          </w:p>
        </w:tc>
        <w:tc>
          <w:tcPr>
            <w:tcW w:w="770" w:type="dxa"/>
            <w:tcBorders>
              <w:top w:val="nil"/>
              <w:left w:val="nil"/>
              <w:bottom w:val="nil"/>
              <w:right w:val="nil"/>
            </w:tcBorders>
            <w:tcMar>
              <w:top w:w="0" w:type="dxa"/>
              <w:left w:w="62" w:type="dxa"/>
              <w:bottom w:w="0" w:type="dxa"/>
              <w:right w:w="62" w:type="dxa"/>
            </w:tcMar>
          </w:tcPr>
          <w:p w:rsidR="00000000" w:rsidP="00D21417">
            <w:pPr>
              <w:pStyle w:val="BodyText"/>
              <w:rPr>
                <w:lang w:val="en-NZ"/>
              </w:rPr>
            </w:pPr>
            <w:r w:rsidRPr="00D21417">
              <w:t>3.1</w:t>
            </w:r>
          </w:p>
        </w:tc>
        <w:tc>
          <w:tcPr>
            <w:tcW w:w="5610" w:type="dxa"/>
            <w:tcBorders>
              <w:top w:val="nil"/>
              <w:left w:val="nil"/>
              <w:bottom w:val="nil"/>
              <w:right w:val="nil"/>
            </w:tcBorders>
            <w:tcMar>
              <w:top w:w="0" w:type="dxa"/>
              <w:left w:w="62" w:type="dxa"/>
              <w:bottom w:w="0" w:type="dxa"/>
              <w:right w:w="62" w:type="dxa"/>
            </w:tcMar>
          </w:tcPr>
          <w:p w:rsidR="00000000" w:rsidP="00D21417">
            <w:pPr>
              <w:pStyle w:val="BodyText"/>
              <w:rPr>
                <w:lang w:val="en-NZ"/>
              </w:rPr>
            </w:pPr>
            <w:r w:rsidRPr="00D21417">
              <w:t>Weigh required amounts of sample and flux components to achieve an acceptable button and fluid slag</w:t>
            </w:r>
          </w:p>
        </w:tc>
      </w:tr>
      <w:tr w:rsidTr="00D214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1417">
            <w:pPr>
              <w:pStyle w:val="BodyText"/>
              <w:rPr>
                <w:lang w:val="en-NZ"/>
              </w:rPr>
            </w:pPr>
            <w:r w:rsidRPr="00D21417">
              <w:t>3.2</w:t>
            </w:r>
          </w:p>
        </w:tc>
        <w:tc>
          <w:tcPr>
            <w:tcW w:w="5610" w:type="dxa"/>
            <w:tcBorders>
              <w:top w:val="nil"/>
              <w:left w:val="nil"/>
              <w:bottom w:val="nil"/>
              <w:right w:val="nil"/>
            </w:tcBorders>
            <w:tcMar>
              <w:top w:w="0" w:type="dxa"/>
              <w:left w:w="62" w:type="dxa"/>
              <w:bottom w:w="0" w:type="dxa"/>
              <w:right w:w="62" w:type="dxa"/>
            </w:tcMar>
          </w:tcPr>
          <w:p w:rsidR="00000000" w:rsidP="00D21417">
            <w:pPr>
              <w:pStyle w:val="BodyText"/>
              <w:rPr>
                <w:lang w:val="en-NZ"/>
              </w:rPr>
            </w:pPr>
            <w:r w:rsidRPr="00D21417">
              <w:t xml:space="preserve">Select the type and size of pot to suit sample method and client requirements </w:t>
            </w:r>
          </w:p>
        </w:tc>
      </w:tr>
      <w:tr w:rsidTr="00D214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1417">
            <w:pPr>
              <w:pStyle w:val="BodyText"/>
              <w:rPr>
                <w:lang w:val="en-NZ"/>
              </w:rPr>
            </w:pPr>
            <w:r w:rsidRPr="00D21417">
              <w:t>3.3</w:t>
            </w:r>
          </w:p>
        </w:tc>
        <w:tc>
          <w:tcPr>
            <w:tcW w:w="5610" w:type="dxa"/>
            <w:tcBorders>
              <w:top w:val="nil"/>
              <w:left w:val="nil"/>
              <w:bottom w:val="nil"/>
              <w:right w:val="nil"/>
            </w:tcBorders>
            <w:tcMar>
              <w:top w:w="0" w:type="dxa"/>
              <w:left w:w="62" w:type="dxa"/>
              <w:bottom w:w="0" w:type="dxa"/>
              <w:right w:w="62" w:type="dxa"/>
            </w:tcMar>
          </w:tcPr>
          <w:p w:rsidR="00000000" w:rsidP="00D21417">
            <w:pPr>
              <w:pStyle w:val="BodyText"/>
              <w:rPr>
                <w:lang w:val="en-NZ"/>
              </w:rPr>
            </w:pPr>
            <w:r w:rsidRPr="00D21417">
              <w:t>Mix charge to ensure homogeneity and optimal collection of precious metal</w:t>
            </w:r>
          </w:p>
        </w:tc>
      </w:tr>
      <w:tr w:rsidTr="00D214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1417">
            <w:pPr>
              <w:pStyle w:val="BodyText"/>
              <w:rPr>
                <w:lang w:val="en-NZ"/>
              </w:rPr>
            </w:pPr>
            <w:r w:rsidRPr="00D21417">
              <w:t>3.4</w:t>
            </w:r>
          </w:p>
        </w:tc>
        <w:tc>
          <w:tcPr>
            <w:tcW w:w="5610" w:type="dxa"/>
            <w:tcBorders>
              <w:top w:val="nil"/>
              <w:left w:val="nil"/>
              <w:bottom w:val="nil"/>
              <w:right w:val="nil"/>
            </w:tcBorders>
            <w:tcMar>
              <w:top w:w="0" w:type="dxa"/>
              <w:left w:w="62" w:type="dxa"/>
              <w:bottom w:w="0" w:type="dxa"/>
              <w:right w:w="62" w:type="dxa"/>
            </w:tcMar>
          </w:tcPr>
          <w:p w:rsidR="00000000" w:rsidP="00D21417">
            <w:pPr>
              <w:pStyle w:val="BodyText"/>
              <w:rPr>
                <w:lang w:val="en-NZ"/>
              </w:rPr>
            </w:pPr>
            <w:r w:rsidRPr="00D21417">
              <w:t>Set and monitor furnace temperature/time to ensure complete fusion</w:t>
            </w:r>
          </w:p>
        </w:tc>
      </w:tr>
      <w:tr w:rsidTr="00D214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1417">
            <w:pPr>
              <w:pStyle w:val="BodyText"/>
              <w:rPr>
                <w:lang w:val="en-NZ"/>
              </w:rPr>
            </w:pPr>
            <w:r w:rsidRPr="00D21417">
              <w:t>3.5</w:t>
            </w:r>
          </w:p>
        </w:tc>
        <w:tc>
          <w:tcPr>
            <w:tcW w:w="5610" w:type="dxa"/>
            <w:tcBorders>
              <w:top w:val="nil"/>
              <w:left w:val="nil"/>
              <w:bottom w:val="nil"/>
              <w:right w:val="nil"/>
            </w:tcBorders>
            <w:tcMar>
              <w:top w:w="0" w:type="dxa"/>
              <w:left w:w="62" w:type="dxa"/>
              <w:bottom w:w="0" w:type="dxa"/>
              <w:right w:w="62" w:type="dxa"/>
            </w:tcMar>
          </w:tcPr>
          <w:p w:rsidR="00000000" w:rsidP="00D21417">
            <w:pPr>
              <w:pStyle w:val="BodyText"/>
              <w:rPr>
                <w:lang w:val="en-NZ"/>
              </w:rPr>
            </w:pPr>
            <w:r w:rsidRPr="00D21417">
              <w:t>Separate</w:t>
            </w:r>
            <w:r w:rsidRPr="00D21417">
              <w:t xml:space="preserve"> slag and button with minimal loss of lead collector</w:t>
            </w:r>
          </w:p>
        </w:tc>
      </w:tr>
      <w:tr w:rsidTr="00D214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1417">
            <w:pPr>
              <w:pStyle w:val="BodyText"/>
              <w:rPr>
                <w:lang w:val="en-NZ"/>
              </w:rPr>
            </w:pPr>
            <w:r w:rsidRPr="00D21417">
              <w:t>3.6</w:t>
            </w:r>
          </w:p>
        </w:tc>
        <w:tc>
          <w:tcPr>
            <w:tcW w:w="5610" w:type="dxa"/>
            <w:tcBorders>
              <w:top w:val="nil"/>
              <w:left w:val="nil"/>
              <w:bottom w:val="nil"/>
              <w:right w:val="nil"/>
            </w:tcBorders>
            <w:tcMar>
              <w:top w:w="0" w:type="dxa"/>
              <w:left w:w="62" w:type="dxa"/>
              <w:bottom w:w="0" w:type="dxa"/>
              <w:right w:w="62" w:type="dxa"/>
            </w:tcMar>
          </w:tcPr>
          <w:p w:rsidR="00000000" w:rsidP="00D21417">
            <w:pPr>
              <w:pStyle w:val="BodyText"/>
              <w:rPr>
                <w:lang w:val="en-NZ"/>
              </w:rPr>
            </w:pPr>
            <w:r w:rsidRPr="00D21417">
              <w:t xml:space="preserve">Maintain sequencing in order to track samples, buttons </w:t>
            </w:r>
            <w:r w:rsidRPr="00D21417">
              <w:t>and prills throughout the recovery process</w:t>
            </w:r>
          </w:p>
        </w:tc>
      </w:tr>
      <w:tr w:rsidTr="00D214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1417">
            <w:pPr>
              <w:pStyle w:val="BodyText"/>
              <w:rPr>
                <w:lang w:val="en-NZ"/>
              </w:rPr>
            </w:pPr>
            <w:r w:rsidRPr="00D21417">
              <w:t>3.7</w:t>
            </w:r>
          </w:p>
        </w:tc>
        <w:tc>
          <w:tcPr>
            <w:tcW w:w="5610" w:type="dxa"/>
            <w:tcBorders>
              <w:top w:val="nil"/>
              <w:left w:val="nil"/>
              <w:bottom w:val="nil"/>
              <w:right w:val="nil"/>
            </w:tcBorders>
            <w:tcMar>
              <w:top w:w="0" w:type="dxa"/>
              <w:left w:w="62" w:type="dxa"/>
              <w:bottom w:w="0" w:type="dxa"/>
              <w:right w:w="62" w:type="dxa"/>
            </w:tcMar>
          </w:tcPr>
          <w:p w:rsidR="00000000" w:rsidP="00D21417">
            <w:pPr>
              <w:pStyle w:val="BodyText"/>
              <w:rPr>
                <w:lang w:val="en-NZ"/>
              </w:rPr>
            </w:pPr>
            <w:r w:rsidRPr="00D21417">
              <w:t>Separate lead collector from the required precious metal and check for contamination, losse</w:t>
            </w:r>
            <w:r w:rsidRPr="00D21417">
              <w:t xml:space="preserve">s and evidence of other precious metals </w:t>
            </w:r>
          </w:p>
        </w:tc>
      </w:tr>
      <w:tr w:rsidTr="00D214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1417">
            <w:pPr>
              <w:pStyle w:val="BodyText"/>
              <w:rPr>
                <w:lang w:val="en-NZ"/>
              </w:rPr>
            </w:pPr>
            <w:r w:rsidRPr="00D21417">
              <w:t>3.8</w:t>
            </w:r>
          </w:p>
        </w:tc>
        <w:tc>
          <w:tcPr>
            <w:tcW w:w="5610" w:type="dxa"/>
            <w:tcBorders>
              <w:top w:val="nil"/>
              <w:left w:val="nil"/>
              <w:bottom w:val="nil"/>
              <w:right w:val="nil"/>
            </w:tcBorders>
            <w:tcMar>
              <w:top w:w="0" w:type="dxa"/>
              <w:left w:w="62" w:type="dxa"/>
              <w:bottom w:w="0" w:type="dxa"/>
              <w:right w:w="62" w:type="dxa"/>
            </w:tcMar>
          </w:tcPr>
          <w:p w:rsidR="00000000" w:rsidP="00D21417">
            <w:pPr>
              <w:pStyle w:val="BodyText"/>
              <w:rPr>
                <w:lang w:val="en-NZ"/>
              </w:rPr>
            </w:pPr>
            <w:r w:rsidRPr="00D21417">
              <w:t>Minimise personal exposure to hazards and the release of collectors to the work environment</w:t>
            </w:r>
          </w:p>
        </w:tc>
      </w:tr>
      <w:tr w:rsidTr="00D214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1417">
            <w:pPr>
              <w:pStyle w:val="BodyText"/>
              <w:rPr>
                <w:lang w:val="en-NZ"/>
              </w:rPr>
            </w:pPr>
            <w:r w:rsidRPr="00D21417">
              <w:t>3.9</w:t>
            </w:r>
          </w:p>
        </w:tc>
        <w:tc>
          <w:tcPr>
            <w:tcW w:w="5610" w:type="dxa"/>
            <w:tcBorders>
              <w:top w:val="nil"/>
              <w:left w:val="nil"/>
              <w:bottom w:val="nil"/>
              <w:right w:val="nil"/>
            </w:tcBorders>
            <w:tcMar>
              <w:top w:w="0" w:type="dxa"/>
              <w:left w:w="62" w:type="dxa"/>
              <w:bottom w:w="0" w:type="dxa"/>
              <w:right w:w="62" w:type="dxa"/>
            </w:tcMar>
          </w:tcPr>
          <w:p w:rsidR="00000000" w:rsidP="00D21417">
            <w:pPr>
              <w:pStyle w:val="BodyText"/>
              <w:rPr>
                <w:lang w:val="en-NZ"/>
              </w:rPr>
            </w:pPr>
            <w:r w:rsidRPr="00D21417">
              <w:t>Collate laboratory documentation and the prepared sample and present for analysis</w:t>
            </w:r>
          </w:p>
        </w:tc>
      </w:tr>
      <w:tr w:rsidTr="00D2141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21417">
            <w:pPr>
              <w:pStyle w:val="BodyText"/>
              <w:rPr>
                <w:lang w:val="en-NZ"/>
              </w:rPr>
            </w:pPr>
          </w:p>
        </w:tc>
      </w:tr>
      <w:tr w:rsidTr="00D214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21417" w:rsidP="00D21417">
            <w:pPr>
              <w:pStyle w:val="BodyText"/>
            </w:pPr>
            <w:r w:rsidRPr="00D21417">
              <w:t>4</w:t>
            </w:r>
          </w:p>
        </w:tc>
        <w:tc>
          <w:tcPr>
            <w:tcW w:w="1962" w:type="dxa"/>
            <w:vMerge w:val="restart"/>
            <w:tcBorders>
              <w:top w:val="nil"/>
              <w:left w:val="nil"/>
              <w:bottom w:val="nil"/>
              <w:right w:val="nil"/>
            </w:tcBorders>
            <w:tcMar>
              <w:top w:w="0" w:type="dxa"/>
              <w:left w:w="62" w:type="dxa"/>
              <w:bottom w:w="0" w:type="dxa"/>
              <w:right w:w="62" w:type="dxa"/>
            </w:tcMar>
          </w:tcPr>
          <w:p w:rsidR="00000000" w:rsidP="00D21417">
            <w:pPr>
              <w:pStyle w:val="BodyText"/>
              <w:rPr>
                <w:lang w:val="en-NZ"/>
              </w:rPr>
            </w:pPr>
            <w:r w:rsidRPr="00D21417">
              <w:rPr>
                <w:rStyle w:val="SpecialBold"/>
              </w:rPr>
              <w:t>Troubleshoot and correct failed recovery</w:t>
            </w:r>
          </w:p>
        </w:tc>
        <w:tc>
          <w:tcPr>
            <w:tcW w:w="770" w:type="dxa"/>
            <w:tcBorders>
              <w:top w:val="nil"/>
              <w:left w:val="nil"/>
              <w:bottom w:val="nil"/>
              <w:right w:val="nil"/>
            </w:tcBorders>
            <w:tcMar>
              <w:top w:w="0" w:type="dxa"/>
              <w:left w:w="62" w:type="dxa"/>
              <w:bottom w:w="0" w:type="dxa"/>
              <w:right w:w="62" w:type="dxa"/>
            </w:tcMar>
          </w:tcPr>
          <w:p w:rsidR="00000000" w:rsidP="00D21417">
            <w:pPr>
              <w:pStyle w:val="BodyText"/>
              <w:rPr>
                <w:lang w:val="en-NZ"/>
              </w:rPr>
            </w:pPr>
            <w:r w:rsidRPr="00D21417">
              <w:t>4.1</w:t>
            </w:r>
          </w:p>
        </w:tc>
        <w:tc>
          <w:tcPr>
            <w:tcW w:w="5610" w:type="dxa"/>
            <w:tcBorders>
              <w:top w:val="nil"/>
              <w:left w:val="nil"/>
              <w:bottom w:val="nil"/>
              <w:right w:val="nil"/>
            </w:tcBorders>
            <w:tcMar>
              <w:top w:w="0" w:type="dxa"/>
              <w:left w:w="62" w:type="dxa"/>
              <w:bottom w:w="0" w:type="dxa"/>
              <w:right w:w="62" w:type="dxa"/>
            </w:tcMar>
          </w:tcPr>
          <w:p w:rsidR="00000000" w:rsidP="00D21417">
            <w:pPr>
              <w:pStyle w:val="BodyText"/>
              <w:rPr>
                <w:lang w:val="en-NZ"/>
              </w:rPr>
            </w:pPr>
            <w:r w:rsidRPr="00D21417">
              <w:t>Monitor all stages of recovery for indicators of potential loss</w:t>
            </w:r>
          </w:p>
        </w:tc>
      </w:tr>
      <w:tr w:rsidTr="00D214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1417">
            <w:pPr>
              <w:pStyle w:val="BodyText"/>
              <w:rPr>
                <w:lang w:val="en-NZ"/>
              </w:rPr>
            </w:pPr>
            <w:r w:rsidRPr="00D21417">
              <w:t>4.2</w:t>
            </w:r>
          </w:p>
        </w:tc>
        <w:tc>
          <w:tcPr>
            <w:tcW w:w="5610" w:type="dxa"/>
            <w:tcBorders>
              <w:top w:val="nil"/>
              <w:left w:val="nil"/>
              <w:bottom w:val="nil"/>
              <w:right w:val="nil"/>
            </w:tcBorders>
            <w:tcMar>
              <w:top w:w="0" w:type="dxa"/>
              <w:left w:w="62" w:type="dxa"/>
              <w:bottom w:w="0" w:type="dxa"/>
              <w:right w:w="62" w:type="dxa"/>
            </w:tcMar>
          </w:tcPr>
          <w:p w:rsidR="00000000" w:rsidP="00D21417">
            <w:pPr>
              <w:pStyle w:val="BodyText"/>
              <w:rPr>
                <w:lang w:val="en-NZ"/>
              </w:rPr>
            </w:pPr>
            <w:r w:rsidRPr="00D21417">
              <w:t xml:space="preserve">Recognise undesirable recovery conditions and decide whether the process requires correction </w:t>
            </w:r>
          </w:p>
        </w:tc>
      </w:tr>
      <w:tr w:rsidTr="00D214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1417">
            <w:pPr>
              <w:pStyle w:val="BodyText"/>
              <w:rPr>
                <w:lang w:val="en-NZ"/>
              </w:rPr>
            </w:pPr>
            <w:r w:rsidRPr="00D21417">
              <w:t>4.3</w:t>
            </w:r>
          </w:p>
        </w:tc>
        <w:tc>
          <w:tcPr>
            <w:tcW w:w="5610" w:type="dxa"/>
            <w:tcBorders>
              <w:top w:val="nil"/>
              <w:left w:val="nil"/>
              <w:bottom w:val="nil"/>
              <w:right w:val="nil"/>
            </w:tcBorders>
            <w:tcMar>
              <w:top w:w="0" w:type="dxa"/>
              <w:left w:w="62" w:type="dxa"/>
              <w:bottom w:w="0" w:type="dxa"/>
              <w:right w:w="62" w:type="dxa"/>
            </w:tcMar>
          </w:tcPr>
          <w:p w:rsidR="00000000" w:rsidP="00D21417">
            <w:pPr>
              <w:pStyle w:val="BodyText"/>
              <w:rPr>
                <w:lang w:val="en-NZ"/>
              </w:rPr>
            </w:pPr>
            <w:r w:rsidRPr="00D21417">
              <w:t>Choose an appropriate corrective action and re-start the process</w:t>
            </w:r>
          </w:p>
        </w:tc>
      </w:tr>
      <w:tr w:rsidTr="00D214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1417">
            <w:pPr>
              <w:pStyle w:val="BodyText"/>
              <w:rPr>
                <w:lang w:val="en-NZ"/>
              </w:rPr>
            </w:pPr>
            <w:r w:rsidRPr="00D21417">
              <w:t>4.4</w:t>
            </w:r>
          </w:p>
        </w:tc>
        <w:tc>
          <w:tcPr>
            <w:tcW w:w="5610" w:type="dxa"/>
            <w:tcBorders>
              <w:top w:val="nil"/>
              <w:left w:val="nil"/>
              <w:bottom w:val="nil"/>
              <w:right w:val="nil"/>
            </w:tcBorders>
            <w:tcMar>
              <w:top w:w="0" w:type="dxa"/>
              <w:left w:w="62" w:type="dxa"/>
              <w:bottom w:w="0" w:type="dxa"/>
              <w:right w:w="62" w:type="dxa"/>
            </w:tcMar>
          </w:tcPr>
          <w:p w:rsidR="00000000" w:rsidP="00D21417">
            <w:pPr>
              <w:pStyle w:val="BodyText"/>
              <w:rPr>
                <w:lang w:val="en-NZ"/>
              </w:rPr>
            </w:pPr>
            <w:r w:rsidRPr="00D21417">
              <w:t>Document any adjustments made to standard methods and re-sequencing of samples</w:t>
            </w:r>
          </w:p>
        </w:tc>
      </w:tr>
      <w:tr w:rsidTr="00D214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1417">
            <w:pPr>
              <w:pStyle w:val="BodyText"/>
              <w:rPr>
                <w:lang w:val="en-NZ"/>
              </w:rPr>
            </w:pPr>
            <w:r w:rsidRPr="00D21417">
              <w:t>4.5</w:t>
            </w:r>
          </w:p>
        </w:tc>
        <w:tc>
          <w:tcPr>
            <w:tcW w:w="5610" w:type="dxa"/>
            <w:tcBorders>
              <w:top w:val="nil"/>
              <w:left w:val="nil"/>
              <w:bottom w:val="nil"/>
              <w:right w:val="nil"/>
            </w:tcBorders>
            <w:tcMar>
              <w:top w:w="0" w:type="dxa"/>
              <w:left w:w="62" w:type="dxa"/>
              <w:bottom w:w="0" w:type="dxa"/>
              <w:right w:w="62" w:type="dxa"/>
            </w:tcMar>
          </w:tcPr>
          <w:p w:rsidR="00000000" w:rsidP="00D21417">
            <w:pPr>
              <w:pStyle w:val="BodyText"/>
              <w:rPr>
                <w:lang w:val="en-NZ"/>
              </w:rPr>
            </w:pPr>
            <w:r w:rsidRPr="00D21417">
              <w:t>Seek advice when problems are beyond scope of responsibility or knowledge</w:t>
            </w:r>
          </w:p>
        </w:tc>
      </w:tr>
      <w:tr w:rsidTr="00D2141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21417">
            <w:pPr>
              <w:pStyle w:val="BodyText"/>
              <w:rPr>
                <w:lang w:val="en-NZ"/>
              </w:rPr>
            </w:pPr>
          </w:p>
        </w:tc>
      </w:tr>
      <w:tr w:rsidTr="00D214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21417" w:rsidP="00D21417">
            <w:pPr>
              <w:pStyle w:val="BodyText"/>
            </w:pPr>
            <w:r w:rsidRPr="00D21417">
              <w:t>5</w:t>
            </w:r>
          </w:p>
        </w:tc>
        <w:tc>
          <w:tcPr>
            <w:tcW w:w="1962" w:type="dxa"/>
            <w:vMerge w:val="restart"/>
            <w:tcBorders>
              <w:top w:val="nil"/>
              <w:left w:val="nil"/>
              <w:bottom w:val="nil"/>
              <w:right w:val="nil"/>
            </w:tcBorders>
            <w:tcMar>
              <w:top w:w="0" w:type="dxa"/>
              <w:left w:w="62" w:type="dxa"/>
              <w:bottom w:w="0" w:type="dxa"/>
              <w:right w:w="62" w:type="dxa"/>
            </w:tcMar>
          </w:tcPr>
          <w:p w:rsidR="00000000" w:rsidP="00D21417">
            <w:pPr>
              <w:pStyle w:val="BodyText"/>
              <w:rPr>
                <w:lang w:val="en-NZ"/>
              </w:rPr>
            </w:pPr>
            <w:r w:rsidRPr="00D21417">
              <w:rPr>
                <w:rStyle w:val="SpecialBold"/>
              </w:rPr>
              <w:t>Perform daily maintenance of assay equipment</w:t>
            </w:r>
          </w:p>
        </w:tc>
        <w:tc>
          <w:tcPr>
            <w:tcW w:w="770" w:type="dxa"/>
            <w:tcBorders>
              <w:top w:val="nil"/>
              <w:left w:val="nil"/>
              <w:bottom w:val="nil"/>
              <w:right w:val="nil"/>
            </w:tcBorders>
            <w:tcMar>
              <w:top w:w="0" w:type="dxa"/>
              <w:left w:w="62" w:type="dxa"/>
              <w:bottom w:w="0" w:type="dxa"/>
              <w:right w:w="62" w:type="dxa"/>
            </w:tcMar>
          </w:tcPr>
          <w:p w:rsidR="00000000" w:rsidP="00D21417">
            <w:pPr>
              <w:pStyle w:val="BodyText"/>
              <w:rPr>
                <w:lang w:val="en-NZ"/>
              </w:rPr>
            </w:pPr>
            <w:r w:rsidRPr="00D21417">
              <w:t>5.1</w:t>
            </w:r>
          </w:p>
        </w:tc>
        <w:tc>
          <w:tcPr>
            <w:tcW w:w="5610" w:type="dxa"/>
            <w:tcBorders>
              <w:top w:val="nil"/>
              <w:left w:val="nil"/>
              <w:bottom w:val="nil"/>
              <w:right w:val="nil"/>
            </w:tcBorders>
            <w:tcMar>
              <w:top w:w="0" w:type="dxa"/>
              <w:left w:w="62" w:type="dxa"/>
              <w:bottom w:w="0" w:type="dxa"/>
              <w:right w:w="62" w:type="dxa"/>
            </w:tcMar>
          </w:tcPr>
          <w:p w:rsidR="00000000" w:rsidP="00D21417">
            <w:pPr>
              <w:pStyle w:val="BodyText"/>
              <w:rPr>
                <w:lang w:val="en-NZ"/>
              </w:rPr>
            </w:pPr>
            <w:r w:rsidRPr="00D21417">
              <w:t>Segregate and dispose of waste in accordance with workplace requirements</w:t>
            </w:r>
          </w:p>
        </w:tc>
      </w:tr>
      <w:tr w:rsidTr="00D214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1417">
            <w:pPr>
              <w:pStyle w:val="BodyText"/>
              <w:rPr>
                <w:lang w:val="en-NZ"/>
              </w:rPr>
            </w:pPr>
            <w:r w:rsidRPr="00D21417">
              <w:t>5.2</w:t>
            </w:r>
          </w:p>
        </w:tc>
        <w:tc>
          <w:tcPr>
            <w:tcW w:w="5610" w:type="dxa"/>
            <w:tcBorders>
              <w:top w:val="nil"/>
              <w:left w:val="nil"/>
              <w:bottom w:val="nil"/>
              <w:right w:val="nil"/>
            </w:tcBorders>
            <w:tcMar>
              <w:top w:w="0" w:type="dxa"/>
              <w:left w:w="62" w:type="dxa"/>
              <w:bottom w:w="0" w:type="dxa"/>
              <w:right w:w="62" w:type="dxa"/>
            </w:tcMar>
          </w:tcPr>
          <w:p w:rsidR="00000000" w:rsidP="00D21417">
            <w:pPr>
              <w:pStyle w:val="BodyText"/>
              <w:rPr>
                <w:lang w:val="en-NZ"/>
              </w:rPr>
            </w:pPr>
            <w:r w:rsidRPr="00D21417">
              <w:t>Grade and inspect pots using established criteria prior to storage for re-use</w:t>
            </w:r>
          </w:p>
        </w:tc>
      </w:tr>
      <w:tr w:rsidTr="00D214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1417">
            <w:pPr>
              <w:pStyle w:val="BodyText"/>
              <w:rPr>
                <w:lang w:val="en-NZ"/>
              </w:rPr>
            </w:pPr>
            <w:r w:rsidRPr="00D21417">
              <w:t>5.3</w:t>
            </w:r>
          </w:p>
        </w:tc>
        <w:tc>
          <w:tcPr>
            <w:tcW w:w="5610" w:type="dxa"/>
            <w:tcBorders>
              <w:top w:val="nil"/>
              <w:left w:val="nil"/>
              <w:bottom w:val="nil"/>
              <w:right w:val="nil"/>
            </w:tcBorders>
            <w:tcMar>
              <w:top w:w="0" w:type="dxa"/>
              <w:left w:w="62" w:type="dxa"/>
              <w:bottom w:w="0" w:type="dxa"/>
              <w:right w:w="62" w:type="dxa"/>
            </w:tcMar>
          </w:tcPr>
          <w:p w:rsidR="00000000" w:rsidP="00D21417">
            <w:pPr>
              <w:pStyle w:val="BodyText"/>
              <w:rPr>
                <w:lang w:val="en-NZ"/>
              </w:rPr>
            </w:pPr>
            <w:r w:rsidRPr="00D21417">
              <w:t>Inspect furnaces for cracks, unserviceable components and remove slag</w:t>
            </w:r>
          </w:p>
        </w:tc>
      </w:tr>
      <w:tr w:rsidTr="00D214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1417">
            <w:pPr>
              <w:pStyle w:val="BodyText"/>
              <w:rPr>
                <w:lang w:val="en-NZ"/>
              </w:rPr>
            </w:pPr>
            <w:r w:rsidRPr="00D21417">
              <w:t>5.4</w:t>
            </w:r>
          </w:p>
        </w:tc>
        <w:tc>
          <w:tcPr>
            <w:tcW w:w="5610" w:type="dxa"/>
            <w:tcBorders>
              <w:top w:val="nil"/>
              <w:left w:val="nil"/>
              <w:bottom w:val="nil"/>
              <w:right w:val="nil"/>
            </w:tcBorders>
            <w:tcMar>
              <w:top w:w="0" w:type="dxa"/>
              <w:left w:w="62" w:type="dxa"/>
              <w:bottom w:w="0" w:type="dxa"/>
              <w:right w:w="62" w:type="dxa"/>
            </w:tcMar>
          </w:tcPr>
          <w:p w:rsidR="00000000" w:rsidP="00D21417">
            <w:pPr>
              <w:pStyle w:val="BodyText"/>
              <w:rPr>
                <w:lang w:val="en-NZ"/>
              </w:rPr>
            </w:pPr>
            <w:r w:rsidRPr="00D21417">
              <w:t xml:space="preserve">Inspect and clean extractive systems </w:t>
            </w:r>
          </w:p>
        </w:tc>
      </w:tr>
      <w:tr w:rsidTr="00D214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1417">
            <w:pPr>
              <w:pStyle w:val="BodyText"/>
              <w:rPr>
                <w:lang w:val="en-NZ"/>
              </w:rPr>
            </w:pPr>
            <w:r w:rsidRPr="00D21417">
              <w:t>5.5</w:t>
            </w:r>
          </w:p>
        </w:tc>
        <w:tc>
          <w:tcPr>
            <w:tcW w:w="5610" w:type="dxa"/>
            <w:tcBorders>
              <w:top w:val="nil"/>
              <w:left w:val="nil"/>
              <w:bottom w:val="nil"/>
              <w:right w:val="nil"/>
            </w:tcBorders>
            <w:tcMar>
              <w:top w:w="0" w:type="dxa"/>
              <w:left w:w="62" w:type="dxa"/>
              <w:bottom w:w="0" w:type="dxa"/>
              <w:right w:w="62" w:type="dxa"/>
            </w:tcMar>
          </w:tcPr>
          <w:p w:rsidR="00000000" w:rsidRPr="00D21417" w:rsidP="00D21417">
            <w:pPr>
              <w:pStyle w:val="BodyText"/>
            </w:pPr>
            <w:r w:rsidRPr="00D21417">
              <w:t>Report defective equipment and consumable requirements to appropriate personnel</w:t>
            </w:r>
          </w:p>
        </w:tc>
      </w:tr>
    </w:tbl>
    <w:p w:rsidR="00000000" w:rsidRPr="00D21417" w:rsidP="00D21417">
      <w:pPr>
        <w:pStyle w:val="BodyText"/>
      </w:pPr>
    </w:p>
    <w:p w:rsidR="00000000" w:rsidRPr="00D21417" w:rsidP="00D21417">
      <w:pPr>
        <w:pStyle w:val="AllowPageBreak"/>
      </w:pPr>
    </w:p>
    <w:p w:rsidR="00000000" w:rsidRPr="00D21417" w:rsidP="00D21417">
      <w:pPr>
        <w:pStyle w:val="Heading1"/>
      </w:pPr>
      <w:bookmarkStart w:id="7" w:name="O_901692"/>
      <w:bookmarkEnd w:id="7"/>
      <w:r w:rsidRPr="00D21417">
        <w:t>Foundation Skills</w:t>
      </w:r>
    </w:p>
    <w:p w:rsidR="00000000" w:rsidRPr="00D21417" w:rsidP="003113E3">
      <w:pPr>
        <w:pStyle w:val="BodyText"/>
      </w:pPr>
      <w:r w:rsidRPr="00D21417">
        <w:t>This section describes those language, literacy, numeracy and employment skills that are essential to performance.</w:t>
      </w:r>
    </w:p>
    <w:p w:rsidR="00000000" w:rsidRPr="00D21417" w:rsidP="003113E3">
      <w:pPr>
        <w:pStyle w:val="BodyText"/>
      </w:pPr>
      <w:r w:rsidRPr="00D21417">
        <w:t>Foundation skills essential to performance are explicit in the performance criteria of this unit of competency.</w:t>
      </w:r>
    </w:p>
    <w:p w:rsidR="00000000" w:rsidRPr="00D21417" w:rsidP="00D21417">
      <w:pPr>
        <w:pStyle w:val="Heading1"/>
      </w:pPr>
      <w:bookmarkStart w:id="8" w:name="O_901691"/>
      <w:bookmarkEnd w:id="8"/>
      <w:r w:rsidRPr="00D21417">
        <w:t>Range of Co</w:t>
      </w:r>
      <w:r w:rsidRPr="00D21417">
        <w:t>nditions</w:t>
      </w:r>
    </w:p>
    <w:tbl>
      <w:tblPr>
        <w:tblW w:w="0" w:type="auto"/>
        <w:tblCellMar>
          <w:left w:w="62" w:type="dxa"/>
          <w:right w:w="62" w:type="dxa"/>
        </w:tblCellMar>
        <w:tblLook w:val="0000"/>
      </w:tblPr>
      <w:tblGrid>
        <w:gridCol w:w="2319"/>
        <w:gridCol w:w="6877"/>
      </w:tblGrid>
      <w:tr w:rsidTr="003113E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21417">
            <w:pPr>
              <w:pStyle w:val="BodyText"/>
              <w:rPr>
                <w:lang w:val="en-NZ"/>
              </w:rPr>
            </w:pPr>
            <w:r w:rsidRPr="00D21417">
              <w:t>This field allows for different work environments and conditions that may affect performance. Essential operating conditions that may be present (depending on the work situation, needs of the candidate, accessibility of the item, and local industr</w:t>
            </w:r>
            <w:r w:rsidRPr="00D21417">
              <w:t>y and regional contexts) are included.</w:t>
            </w:r>
          </w:p>
        </w:tc>
      </w:tr>
      <w:tr w:rsidTr="003113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1417">
            <w:pPr>
              <w:pStyle w:val="BodyText"/>
              <w:rPr>
                <w:lang w:val="en-NZ"/>
              </w:rPr>
            </w:pPr>
            <w:r w:rsidRPr="00D21417">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D21417" w:rsidP="00D21417">
            <w:pPr>
              <w:pStyle w:val="BodyText"/>
            </w:pPr>
            <w:r w:rsidRPr="00D21417">
              <w:t>Standards, codes, procedures and/or workplace requirements include the latest version of one or more of:</w:t>
            </w:r>
          </w:p>
          <w:p w:rsidR="00000000" w:rsidRPr="00D21417" w:rsidP="00D21417">
            <w:pPr>
              <w:pStyle w:val="ListBullet"/>
            </w:pPr>
            <w:r w:rsidRPr="00D21417">
              <w:t>Australian and international standards covering the requirements for the competence of testing and calibration laboratories; laboratory safety; quality and environmental management; analysis of specific ores and determination of gold; and labelling, storag</w:t>
            </w:r>
            <w:r w:rsidRPr="00D21417">
              <w:t>e, handling and transport of hazardous materials</w:t>
            </w:r>
          </w:p>
          <w:p w:rsidR="00000000" w:rsidRPr="00D21417" w:rsidP="00D21417">
            <w:pPr>
              <w:pStyle w:val="ListBullet"/>
            </w:pPr>
            <w:r w:rsidRPr="00D21417">
              <w:t>national work health and safety (WHS) standards and codes of practice, national environmental protection measures, and national measurement regulations and guidelines</w:t>
            </w:r>
          </w:p>
          <w:p w:rsidR="00000000" w:rsidRPr="00D21417" w:rsidP="00D21417">
            <w:pPr>
              <w:pStyle w:val="ListBullet"/>
            </w:pPr>
            <w:r w:rsidRPr="00D21417">
              <w:t>specific codes, guidelines and procedure</w:t>
            </w:r>
            <w:r w:rsidRPr="00D21417">
              <w:t>s, such as National Association of Testing Authorities (NATA) accreditation requirements, and principles of good laboratory practice (GLP)</w:t>
            </w:r>
          </w:p>
          <w:p w:rsidR="00000000" w:rsidRPr="00D21417" w:rsidP="00D21417">
            <w:pPr>
              <w:pStyle w:val="ListBullet"/>
            </w:pPr>
            <w:r w:rsidRPr="00D21417">
              <w:t>workplace documents, such as standard operating procedures (SOPs); quality and equipment manuals; maintenance schedul</w:t>
            </w:r>
            <w:r w:rsidRPr="00D21417">
              <w:t>es; material safety data sheets (MSDS) and safety procedures; material, production and product specifications; production and laboratory schedules; workplace recording and reporting procedures; and waste minimisation and safe disposal procedures</w:t>
            </w:r>
          </w:p>
          <w:p w:rsidR="00000000" w:rsidRPr="00D21417" w:rsidP="00D21417">
            <w:pPr>
              <w:pStyle w:val="ListBullet"/>
            </w:pPr>
            <w:r w:rsidRPr="00D21417">
              <w:t>recovery m</w:t>
            </w:r>
            <w:r w:rsidRPr="00D21417">
              <w:t>ethods and procedures for specific samples, sites and clients (labelling, preparation, storage, transport and disposal), and published preparation methods</w:t>
            </w:r>
          </w:p>
          <w:p w:rsidR="00000000" w:rsidP="00D21417">
            <w:pPr>
              <w:pStyle w:val="BodyText"/>
              <w:rPr>
                <w:lang w:val="en-NZ"/>
              </w:rPr>
            </w:pPr>
          </w:p>
        </w:tc>
      </w:tr>
      <w:tr w:rsidTr="003113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1417">
            <w:pPr>
              <w:pStyle w:val="BodyText"/>
              <w:rPr>
                <w:lang w:val="en-NZ"/>
              </w:rPr>
            </w:pPr>
            <w:r w:rsidRPr="00D21417">
              <w:rPr>
                <w:rStyle w:val="SpecialBold"/>
              </w:rPr>
              <w:t xml:space="preserve">Samples </w:t>
            </w:r>
          </w:p>
        </w:tc>
        <w:tc>
          <w:tcPr>
            <w:tcW w:w="0" w:type="auto"/>
            <w:tcBorders>
              <w:top w:val="nil"/>
              <w:left w:val="nil"/>
              <w:bottom w:val="nil"/>
              <w:right w:val="nil"/>
            </w:tcBorders>
            <w:tcMar>
              <w:top w:w="0" w:type="dxa"/>
              <w:left w:w="62" w:type="dxa"/>
              <w:bottom w:w="0" w:type="dxa"/>
              <w:right w:w="62" w:type="dxa"/>
            </w:tcMar>
          </w:tcPr>
          <w:p w:rsidR="00000000" w:rsidRPr="00D21417" w:rsidP="00D21417">
            <w:pPr>
              <w:pStyle w:val="BodyText"/>
            </w:pPr>
            <w:r w:rsidRPr="00D21417">
              <w:t>Samples include, but are not limited to, one or more of:</w:t>
            </w:r>
          </w:p>
          <w:p w:rsidR="00000000" w:rsidRPr="00D21417" w:rsidP="00D21417">
            <w:pPr>
              <w:pStyle w:val="ListBullet"/>
            </w:pPr>
            <w:r w:rsidRPr="00D21417">
              <w:t>solids, such as rocks, minerals, soils, sands and stream sediments</w:t>
            </w:r>
          </w:p>
          <w:p w:rsidR="00000000" w:rsidRPr="00D21417" w:rsidP="00D21417">
            <w:pPr>
              <w:pStyle w:val="ListBullet"/>
            </w:pPr>
            <w:r w:rsidRPr="00D21417">
              <w:t>core and other drill samples, such as rotary air blast (RAB), reverse circulation (RC) and aircore</w:t>
            </w:r>
          </w:p>
          <w:p w:rsidR="00000000" w:rsidRPr="00D21417" w:rsidP="00D21417">
            <w:pPr>
              <w:pStyle w:val="ListBullet"/>
            </w:pPr>
            <w:r w:rsidRPr="00D21417">
              <w:t>slurries, powder concentrates and metallurgical solutions</w:t>
            </w:r>
          </w:p>
          <w:p w:rsidR="00000000" w:rsidRPr="00D21417" w:rsidP="00D21417">
            <w:pPr>
              <w:pStyle w:val="ListBullet"/>
            </w:pPr>
            <w:r w:rsidRPr="00D21417">
              <w:t>dump samples and grab samples</w:t>
            </w:r>
          </w:p>
          <w:p w:rsidR="00000000" w:rsidP="00D21417">
            <w:pPr>
              <w:pStyle w:val="BodyText"/>
              <w:rPr>
                <w:lang w:val="en-NZ"/>
              </w:rPr>
            </w:pPr>
          </w:p>
        </w:tc>
      </w:tr>
      <w:tr w:rsidTr="003113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1417">
            <w:pPr>
              <w:pStyle w:val="BodyText"/>
              <w:rPr>
                <w:lang w:val="en-NZ"/>
              </w:rPr>
            </w:pPr>
            <w:r w:rsidRPr="00D21417">
              <w:rPr>
                <w:rStyle w:val="SpecialBold"/>
              </w:rPr>
              <w:t xml:space="preserve">Fluxes </w:t>
            </w:r>
          </w:p>
        </w:tc>
        <w:tc>
          <w:tcPr>
            <w:tcW w:w="0" w:type="auto"/>
            <w:tcBorders>
              <w:top w:val="nil"/>
              <w:left w:val="nil"/>
              <w:bottom w:val="nil"/>
              <w:right w:val="nil"/>
            </w:tcBorders>
            <w:tcMar>
              <w:top w:w="0" w:type="dxa"/>
              <w:left w:w="62" w:type="dxa"/>
              <w:bottom w:w="0" w:type="dxa"/>
              <w:right w:w="62" w:type="dxa"/>
            </w:tcMar>
          </w:tcPr>
          <w:p w:rsidR="00000000" w:rsidRPr="00D21417" w:rsidP="00D21417">
            <w:pPr>
              <w:pStyle w:val="BodyText"/>
            </w:pPr>
            <w:r w:rsidRPr="00D21417">
              <w:t>Fluxes include, but are not limited to, one or more of:</w:t>
            </w:r>
          </w:p>
          <w:p w:rsidR="00000000" w:rsidRPr="00D21417" w:rsidP="00D21417">
            <w:pPr>
              <w:pStyle w:val="ListBullet"/>
            </w:pPr>
            <w:r w:rsidRPr="00D21417">
              <w:t>bulk fluxes containing PbO, borax, soda ash, silica, silver nitrate and flour</w:t>
            </w:r>
          </w:p>
          <w:p w:rsidR="00000000" w:rsidRPr="00D21417" w:rsidP="00D21417">
            <w:pPr>
              <w:pStyle w:val="ListBullet"/>
            </w:pPr>
            <w:r w:rsidRPr="00D21417">
              <w:t>non-standard flux additives such as:</w:t>
            </w:r>
          </w:p>
          <w:p w:rsidR="00000000" w:rsidRPr="00D21417" w:rsidP="00D21417">
            <w:pPr>
              <w:pStyle w:val="ListBullet2"/>
            </w:pPr>
            <w:r w:rsidRPr="00D21417">
              <w:t>flour (oxidising samples)</w:t>
            </w:r>
          </w:p>
          <w:p w:rsidR="00000000" w:rsidRPr="00D21417" w:rsidP="00D21417">
            <w:pPr>
              <w:pStyle w:val="ListBullet2"/>
            </w:pPr>
            <w:r w:rsidRPr="00D21417">
              <w:t>nitre (reducing samples, sulphides)</w:t>
            </w:r>
          </w:p>
          <w:p w:rsidR="00000000" w:rsidRPr="00D21417" w:rsidP="00D21417">
            <w:pPr>
              <w:pStyle w:val="ListBullet2"/>
            </w:pPr>
            <w:r w:rsidRPr="00D21417">
              <w:t>silica (basic ores)</w:t>
            </w:r>
          </w:p>
          <w:p w:rsidR="00000000" w:rsidRPr="00D21417" w:rsidP="00D21417">
            <w:pPr>
              <w:pStyle w:val="ListBullet2"/>
            </w:pPr>
            <w:r w:rsidRPr="00D21417">
              <w:t>PbO (siliceous ores)</w:t>
            </w:r>
          </w:p>
          <w:p w:rsidR="00000000" w:rsidRPr="00D21417" w:rsidP="00D21417">
            <w:pPr>
              <w:pStyle w:val="ListBullet"/>
            </w:pPr>
            <w:r w:rsidRPr="00D21417">
              <w:t>exotic additives, such as calcium fluoride (CaF</w:t>
            </w:r>
            <w:r w:rsidRPr="00D21417">
              <w:rPr>
                <w:rStyle w:val="Subscript"/>
              </w:rPr>
              <w:t>2</w:t>
            </w:r>
            <w:r w:rsidRPr="00D21417">
              <w:t>) (refractory ores)</w:t>
            </w:r>
          </w:p>
          <w:p w:rsidR="00000000" w:rsidRPr="00D21417" w:rsidP="00D21417">
            <w:pPr>
              <w:pStyle w:val="ListBullet"/>
            </w:pPr>
            <w:r w:rsidRPr="00D21417">
              <w:t>nickel sulphide (NiS), nickel carbonate (NiCO</w:t>
            </w:r>
            <w:r w:rsidRPr="00D21417">
              <w:rPr>
                <w:rStyle w:val="Subscript"/>
              </w:rPr>
              <w:t>3</w:t>
            </w:r>
            <w:r w:rsidRPr="00D21417">
              <w:t>), sulphur, borax and soda ash)</w:t>
            </w:r>
          </w:p>
          <w:p w:rsidR="00000000" w:rsidP="00D21417">
            <w:pPr>
              <w:pStyle w:val="BodyText"/>
              <w:rPr>
                <w:lang w:val="en-NZ"/>
              </w:rPr>
            </w:pPr>
          </w:p>
        </w:tc>
      </w:tr>
      <w:tr w:rsidTr="003113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1417">
            <w:pPr>
              <w:pStyle w:val="BodyText"/>
              <w:rPr>
                <w:lang w:val="en-NZ"/>
              </w:rPr>
            </w:pPr>
            <w:r w:rsidRPr="00D21417">
              <w:rPr>
                <w:rStyle w:val="SpecialBold"/>
              </w:rPr>
              <w:t xml:space="preserve">Sequencing of pots in a rack </w:t>
            </w:r>
          </w:p>
        </w:tc>
        <w:tc>
          <w:tcPr>
            <w:tcW w:w="0" w:type="auto"/>
            <w:tcBorders>
              <w:top w:val="nil"/>
              <w:left w:val="nil"/>
              <w:bottom w:val="nil"/>
              <w:right w:val="nil"/>
            </w:tcBorders>
            <w:tcMar>
              <w:top w:w="0" w:type="dxa"/>
              <w:left w:w="62" w:type="dxa"/>
              <w:bottom w:w="0" w:type="dxa"/>
              <w:right w:w="62" w:type="dxa"/>
            </w:tcMar>
          </w:tcPr>
          <w:p w:rsidR="00000000" w:rsidRPr="00D21417" w:rsidP="00D21417">
            <w:pPr>
              <w:pStyle w:val="BodyText"/>
            </w:pPr>
            <w:r w:rsidRPr="00D21417">
              <w:t>Sequencing of pots in a rack includes one or more of:</w:t>
            </w:r>
          </w:p>
          <w:p w:rsidR="00000000" w:rsidRPr="00D21417" w:rsidP="00D21417">
            <w:pPr>
              <w:pStyle w:val="ListBullet"/>
            </w:pPr>
            <w:r w:rsidRPr="00D21417">
              <w:t>addition of silver wire</w:t>
            </w:r>
          </w:p>
          <w:p w:rsidR="00000000" w:rsidRPr="00D21417" w:rsidP="00D21417">
            <w:pPr>
              <w:pStyle w:val="ListBullet"/>
            </w:pPr>
            <w:r w:rsidRPr="00D21417">
              <w:t>addition of coloured salts, such as copper (Cu)</w:t>
            </w:r>
          </w:p>
          <w:p w:rsidR="00000000" w:rsidRPr="00D21417" w:rsidP="00D21417">
            <w:pPr>
              <w:pStyle w:val="ListBullet"/>
            </w:pPr>
            <w:r w:rsidRPr="00D21417">
              <w:t>position of reagent blanks, standards and check samples</w:t>
            </w:r>
          </w:p>
          <w:p w:rsidR="00000000" w:rsidP="00D21417">
            <w:pPr>
              <w:pStyle w:val="BodyText"/>
              <w:rPr>
                <w:lang w:val="en-NZ"/>
              </w:rPr>
            </w:pPr>
          </w:p>
        </w:tc>
      </w:tr>
      <w:tr w:rsidTr="003113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1417">
            <w:pPr>
              <w:pStyle w:val="BodyText"/>
              <w:rPr>
                <w:lang w:val="en-NZ"/>
              </w:rPr>
            </w:pPr>
            <w:r w:rsidRPr="00D21417">
              <w:rPr>
                <w:rStyle w:val="SpecialBold"/>
              </w:rPr>
              <w:t xml:space="preserve">Collectors </w:t>
            </w:r>
          </w:p>
        </w:tc>
        <w:tc>
          <w:tcPr>
            <w:tcW w:w="0" w:type="auto"/>
            <w:tcBorders>
              <w:top w:val="nil"/>
              <w:left w:val="nil"/>
              <w:bottom w:val="nil"/>
              <w:right w:val="nil"/>
            </w:tcBorders>
            <w:tcMar>
              <w:top w:w="0" w:type="dxa"/>
              <w:left w:w="62" w:type="dxa"/>
              <w:bottom w:w="0" w:type="dxa"/>
              <w:right w:w="62" w:type="dxa"/>
            </w:tcMar>
          </w:tcPr>
          <w:p w:rsidR="00000000" w:rsidRPr="00D21417" w:rsidP="00D21417">
            <w:pPr>
              <w:pStyle w:val="BodyText"/>
            </w:pPr>
            <w:r w:rsidRPr="00D21417">
              <w:t xml:space="preserve">Collectors include one or more of: </w:t>
            </w:r>
          </w:p>
          <w:p w:rsidR="00000000" w:rsidRPr="00D21417" w:rsidP="00D21417">
            <w:pPr>
              <w:pStyle w:val="ListBullet"/>
            </w:pPr>
            <w:r w:rsidRPr="00D21417">
              <w:t>lead (Pb), nickel sulp</w:t>
            </w:r>
            <w:r w:rsidRPr="00D21417">
              <w:t>hide (NiS), bismuth (Bi) and tin (Sn)</w:t>
            </w:r>
          </w:p>
          <w:p w:rsidR="00000000" w:rsidP="00D21417">
            <w:pPr>
              <w:pStyle w:val="BodyText"/>
              <w:rPr>
                <w:lang w:val="en-NZ"/>
              </w:rPr>
            </w:pPr>
          </w:p>
        </w:tc>
      </w:tr>
      <w:tr w:rsidTr="003113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1417">
            <w:pPr>
              <w:pStyle w:val="BodyText"/>
              <w:rPr>
                <w:lang w:val="en-NZ"/>
              </w:rPr>
            </w:pPr>
            <w:r w:rsidRPr="00D21417">
              <w:rPr>
                <w:rStyle w:val="SpecialBold"/>
              </w:rPr>
              <w:t xml:space="preserve">Separation of collectors </w:t>
            </w:r>
          </w:p>
        </w:tc>
        <w:tc>
          <w:tcPr>
            <w:tcW w:w="0" w:type="auto"/>
            <w:tcBorders>
              <w:top w:val="nil"/>
              <w:left w:val="nil"/>
              <w:bottom w:val="nil"/>
              <w:right w:val="nil"/>
            </w:tcBorders>
            <w:tcMar>
              <w:top w:w="0" w:type="dxa"/>
              <w:left w:w="62" w:type="dxa"/>
              <w:bottom w:w="0" w:type="dxa"/>
              <w:right w:w="62" w:type="dxa"/>
            </w:tcMar>
          </w:tcPr>
          <w:p w:rsidR="00000000" w:rsidRPr="00D21417" w:rsidP="00D21417">
            <w:pPr>
              <w:pStyle w:val="BodyText"/>
            </w:pPr>
            <w:r w:rsidRPr="00D21417">
              <w:t>Separation of collectors include one or more of:</w:t>
            </w:r>
          </w:p>
          <w:p w:rsidR="00000000" w:rsidRPr="00D21417" w:rsidP="00D21417">
            <w:pPr>
              <w:pStyle w:val="ListBullet"/>
            </w:pPr>
            <w:r w:rsidRPr="00D21417">
              <w:t>cupellation</w:t>
            </w:r>
          </w:p>
          <w:p w:rsidR="00000000" w:rsidRPr="00D21417" w:rsidP="00D21417">
            <w:pPr>
              <w:pStyle w:val="ListBullet"/>
            </w:pPr>
            <w:r w:rsidRPr="00D21417">
              <w:t>digestion</w:t>
            </w:r>
          </w:p>
          <w:p w:rsidR="00000000" w:rsidRPr="00D21417" w:rsidP="00D21417">
            <w:pPr>
              <w:pStyle w:val="ListBullet"/>
            </w:pPr>
            <w:r w:rsidRPr="00D21417">
              <w:t>parting, annealing and weighing for a gravimetric finish</w:t>
            </w:r>
          </w:p>
          <w:p w:rsidR="00000000" w:rsidP="00D21417">
            <w:pPr>
              <w:pStyle w:val="BodyText"/>
              <w:rPr>
                <w:lang w:val="en-NZ"/>
              </w:rPr>
            </w:pPr>
          </w:p>
        </w:tc>
      </w:tr>
      <w:tr w:rsidTr="003113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1417">
            <w:pPr>
              <w:pStyle w:val="BodyText"/>
              <w:rPr>
                <w:lang w:val="en-NZ"/>
              </w:rPr>
            </w:pPr>
            <w:r w:rsidRPr="00D21417">
              <w:rPr>
                <w:rStyle w:val="SpecialBold"/>
              </w:rPr>
              <w:t xml:space="preserve">Waste </w:t>
            </w:r>
          </w:p>
        </w:tc>
        <w:tc>
          <w:tcPr>
            <w:tcW w:w="0" w:type="auto"/>
            <w:tcBorders>
              <w:top w:val="nil"/>
              <w:left w:val="nil"/>
              <w:bottom w:val="nil"/>
              <w:right w:val="nil"/>
            </w:tcBorders>
            <w:tcMar>
              <w:top w:w="0" w:type="dxa"/>
              <w:left w:w="62" w:type="dxa"/>
              <w:bottom w:w="0" w:type="dxa"/>
              <w:right w:w="62" w:type="dxa"/>
            </w:tcMar>
          </w:tcPr>
          <w:p w:rsidR="00000000" w:rsidRPr="00D21417" w:rsidP="00D21417">
            <w:pPr>
              <w:pStyle w:val="BodyText"/>
            </w:pPr>
            <w:r w:rsidRPr="00D21417">
              <w:t>Waste includes, but is not limited to, one or more of:</w:t>
            </w:r>
          </w:p>
          <w:p w:rsidR="00000000" w:rsidRPr="00D21417" w:rsidP="00D21417">
            <w:pPr>
              <w:pStyle w:val="ListBullet"/>
            </w:pPr>
            <w:r w:rsidRPr="00D21417">
              <w:t>rejected pots and cupels</w:t>
            </w:r>
          </w:p>
          <w:p w:rsidR="00000000" w:rsidRPr="00D21417" w:rsidP="00D21417">
            <w:pPr>
              <w:pStyle w:val="ListBullet"/>
            </w:pPr>
            <w:r w:rsidRPr="00D21417">
              <w:t>slag and furnace material</w:t>
            </w:r>
          </w:p>
          <w:p w:rsidR="00000000" w:rsidRPr="00D21417" w:rsidP="00D21417">
            <w:pPr>
              <w:pStyle w:val="ListBullet"/>
            </w:pPr>
            <w:r w:rsidRPr="00D21417">
              <w:t>disposable personal protective equipment</w:t>
            </w:r>
          </w:p>
          <w:p w:rsidR="00000000" w:rsidP="00D21417">
            <w:pPr>
              <w:pStyle w:val="BodyText"/>
              <w:rPr>
                <w:lang w:val="en-NZ"/>
              </w:rPr>
            </w:pPr>
          </w:p>
        </w:tc>
      </w:tr>
      <w:tr w:rsidTr="003113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1417">
            <w:pPr>
              <w:pStyle w:val="BodyText"/>
              <w:rPr>
                <w:lang w:val="en-NZ"/>
              </w:rPr>
            </w:pPr>
            <w:r w:rsidRPr="00D21417">
              <w:rPr>
                <w:rStyle w:val="SpecialBold"/>
              </w:rPr>
              <w:t xml:space="preserve">Hazards </w:t>
            </w:r>
          </w:p>
        </w:tc>
        <w:tc>
          <w:tcPr>
            <w:tcW w:w="0" w:type="auto"/>
            <w:tcBorders>
              <w:top w:val="nil"/>
              <w:left w:val="nil"/>
              <w:bottom w:val="nil"/>
              <w:right w:val="nil"/>
            </w:tcBorders>
            <w:tcMar>
              <w:top w:w="0" w:type="dxa"/>
              <w:left w:w="62" w:type="dxa"/>
              <w:bottom w:w="0" w:type="dxa"/>
              <w:right w:w="62" w:type="dxa"/>
            </w:tcMar>
          </w:tcPr>
          <w:p w:rsidR="00000000" w:rsidRPr="00D21417" w:rsidP="00D21417">
            <w:pPr>
              <w:pStyle w:val="BodyText"/>
            </w:pPr>
            <w:r w:rsidRPr="00D21417">
              <w:t>Hazards include, but are not limited to, or more of:</w:t>
            </w:r>
          </w:p>
          <w:p w:rsidR="00000000" w:rsidRPr="00D21417" w:rsidP="00D21417">
            <w:pPr>
              <w:pStyle w:val="ListBullet"/>
            </w:pPr>
            <w:r w:rsidRPr="00D21417">
              <w:t>dust, silica, slag, glass shards and molten flux</w:t>
            </w:r>
          </w:p>
          <w:p w:rsidR="00000000" w:rsidRPr="00D21417" w:rsidP="00D21417">
            <w:pPr>
              <w:pStyle w:val="ListBullet"/>
            </w:pPr>
            <w:r w:rsidRPr="00D21417">
              <w:t>chemicals, such as hydrofluoric acid, bromine, perchloric acid, aqua regia, cyanide, lead-based compounds, free-mercury and nickel compounds</w:t>
            </w:r>
          </w:p>
          <w:p w:rsidR="00000000" w:rsidRPr="00D21417" w:rsidP="00D21417">
            <w:pPr>
              <w:pStyle w:val="ListBullet"/>
            </w:pPr>
            <w:r w:rsidRPr="00D21417">
              <w:t>noise and vibration</w:t>
            </w:r>
          </w:p>
          <w:p w:rsidR="00000000" w:rsidRPr="00D21417" w:rsidP="00D21417">
            <w:pPr>
              <w:pStyle w:val="ListBullet"/>
            </w:pPr>
            <w:r w:rsidRPr="00D21417">
              <w:t>crushing, entanglement and cuts associated wit</w:t>
            </w:r>
            <w:r w:rsidRPr="00D21417">
              <w:t>h moving machinery</w:t>
            </w:r>
          </w:p>
          <w:p w:rsidR="00000000" w:rsidRPr="00D21417" w:rsidP="00D21417">
            <w:pPr>
              <w:pStyle w:val="ListBullet"/>
            </w:pPr>
            <w:r w:rsidRPr="00D21417">
              <w:t>manual handling of hot/heavy loads, such as pots, racks and trolleys</w:t>
            </w:r>
          </w:p>
          <w:p w:rsidR="00000000" w:rsidRPr="00D21417" w:rsidP="00D21417">
            <w:pPr>
              <w:pStyle w:val="ListBullet"/>
            </w:pPr>
            <w:r w:rsidRPr="00D21417">
              <w:t>heat exhaustion/stress and fatigue</w:t>
            </w:r>
          </w:p>
          <w:p w:rsidR="00000000" w:rsidP="00D21417">
            <w:pPr>
              <w:pStyle w:val="BodyText"/>
              <w:rPr>
                <w:lang w:val="en-NZ"/>
              </w:rPr>
            </w:pPr>
          </w:p>
        </w:tc>
      </w:tr>
      <w:tr w:rsidTr="003113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1417">
            <w:pPr>
              <w:pStyle w:val="BodyText"/>
              <w:rPr>
                <w:lang w:val="en-NZ"/>
              </w:rPr>
            </w:pPr>
            <w:r w:rsidRPr="00D21417">
              <w:rPr>
                <w:rStyle w:val="SpecialBold"/>
              </w:rPr>
              <w:t>Workplace safety procedures</w:t>
            </w:r>
          </w:p>
        </w:tc>
        <w:tc>
          <w:tcPr>
            <w:tcW w:w="0" w:type="auto"/>
            <w:tcBorders>
              <w:top w:val="nil"/>
              <w:left w:val="nil"/>
              <w:bottom w:val="nil"/>
              <w:right w:val="nil"/>
            </w:tcBorders>
            <w:tcMar>
              <w:top w:w="0" w:type="dxa"/>
              <w:left w:w="62" w:type="dxa"/>
              <w:bottom w:w="0" w:type="dxa"/>
              <w:right w:w="62" w:type="dxa"/>
            </w:tcMar>
          </w:tcPr>
          <w:p w:rsidR="00000000" w:rsidRPr="00D21417" w:rsidP="00D21417">
            <w:pPr>
              <w:pStyle w:val="BodyText"/>
            </w:pPr>
            <w:r w:rsidRPr="00D21417">
              <w:t>Workplace safety procedures include, but are not limited to, one or more of:</w:t>
            </w:r>
          </w:p>
          <w:p w:rsidR="00000000" w:rsidRPr="00D21417" w:rsidP="00D21417">
            <w:pPr>
              <w:pStyle w:val="ListBullet"/>
            </w:pPr>
            <w:r w:rsidRPr="00D21417">
              <w:t>ensuring access to servic</w:t>
            </w:r>
            <w:r w:rsidRPr="00D21417">
              <w:t>e shut-off points, fire-extinguishers/fire hoses, safety showers/eye wash stations and a first aid station</w:t>
            </w:r>
          </w:p>
          <w:p w:rsidR="00000000" w:rsidRPr="00D21417" w:rsidP="00D21417">
            <w:pPr>
              <w:pStyle w:val="ListBullet"/>
            </w:pPr>
            <w:r w:rsidRPr="00D21417">
              <w:t>recognising and observing hazard warnings and safety signs</w:t>
            </w:r>
          </w:p>
          <w:p w:rsidR="00000000" w:rsidRPr="00D21417" w:rsidP="00D21417">
            <w:pPr>
              <w:pStyle w:val="ListBullet"/>
            </w:pPr>
            <w:r w:rsidRPr="00D21417">
              <w:t>labelling samples, reagents and hazardous materials</w:t>
            </w:r>
          </w:p>
          <w:p w:rsidR="00000000" w:rsidRPr="00D21417" w:rsidP="00D21417">
            <w:pPr>
              <w:pStyle w:val="ListBullet"/>
            </w:pPr>
            <w:r w:rsidRPr="00D21417">
              <w:t>using direct extraction and fume hoods</w:t>
            </w:r>
          </w:p>
          <w:p w:rsidR="00000000" w:rsidRPr="00D21417" w:rsidP="00D21417">
            <w:pPr>
              <w:pStyle w:val="ListBullet"/>
            </w:pPr>
            <w:r w:rsidRPr="00D21417">
              <w:t>providing guards for moving machinery parts</w:t>
            </w:r>
          </w:p>
          <w:p w:rsidR="00000000" w:rsidRPr="00D21417" w:rsidP="00D21417">
            <w:pPr>
              <w:pStyle w:val="ListBullet"/>
            </w:pPr>
            <w:r w:rsidRPr="00D21417">
              <w:t>providing noise insulation</w:t>
            </w:r>
          </w:p>
          <w:p w:rsidR="00000000" w:rsidRPr="00D21417" w:rsidP="00D21417">
            <w:pPr>
              <w:pStyle w:val="ListBullet"/>
            </w:pPr>
            <w:r w:rsidRPr="00D21417">
              <w:t>using personal protective e</w:t>
            </w:r>
            <w:r w:rsidRPr="00D21417">
              <w:t>quipment (PPE), such as dust masks, heat resistant mittens, safety face shields with tinted visor, coats, ear muffs, safety boots, heat-reflective clothing and latex gloves for flux handling</w:t>
            </w:r>
          </w:p>
          <w:p w:rsidR="00000000" w:rsidRPr="00D21417" w:rsidP="00D21417">
            <w:pPr>
              <w:pStyle w:val="ListBullet"/>
            </w:pPr>
            <w:r w:rsidRPr="00D21417">
              <w:t>following established manual handling procedures</w:t>
            </w:r>
          </w:p>
          <w:p w:rsidR="00000000" w:rsidRPr="00D21417" w:rsidP="00D21417">
            <w:pPr>
              <w:pStyle w:val="ListBullet"/>
            </w:pPr>
            <w:r w:rsidRPr="00D21417">
              <w:t>regularly cleani</w:t>
            </w:r>
            <w:r w:rsidRPr="00D21417">
              <w:t>ng equipment and work areas</w:t>
            </w:r>
          </w:p>
          <w:p w:rsidR="00000000" w:rsidRPr="00D21417" w:rsidP="00D21417">
            <w:pPr>
              <w:pStyle w:val="ListBullet"/>
            </w:pPr>
            <w:r w:rsidRPr="00D21417">
              <w:t>reporting abnormal emissions, discharges and airborne contaminants, such as noise, light, solids, liquids, water/wastewater, gasses, smoke, vapour, fumes, odour and particulates, to appropriate personnel</w:t>
            </w:r>
          </w:p>
          <w:p w:rsidR="00000000" w:rsidP="00D21417">
            <w:pPr>
              <w:pStyle w:val="BodyText"/>
              <w:rPr>
                <w:lang w:val="en-NZ"/>
              </w:rPr>
            </w:pPr>
          </w:p>
        </w:tc>
      </w:tr>
      <w:tr w:rsidTr="003113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1417">
            <w:pPr>
              <w:pStyle w:val="BodyText"/>
              <w:rPr>
                <w:lang w:val="en-NZ"/>
              </w:rPr>
            </w:pPr>
            <w:r w:rsidRPr="00D21417">
              <w:rPr>
                <w:rStyle w:val="SpecialBold"/>
              </w:rPr>
              <w:t xml:space="preserve">WHS and environmental </w:t>
            </w:r>
            <w:r w:rsidRPr="00D21417">
              <w:rPr>
                <w:rStyle w:val="SpecialBold"/>
              </w:rPr>
              <w:t>management requirements</w:t>
            </w:r>
          </w:p>
        </w:tc>
        <w:tc>
          <w:tcPr>
            <w:tcW w:w="0" w:type="auto"/>
            <w:tcBorders>
              <w:top w:val="nil"/>
              <w:left w:val="nil"/>
              <w:bottom w:val="nil"/>
              <w:right w:val="nil"/>
            </w:tcBorders>
            <w:tcMar>
              <w:top w:w="0" w:type="dxa"/>
              <w:left w:w="62" w:type="dxa"/>
              <w:bottom w:w="0" w:type="dxa"/>
              <w:right w:w="62" w:type="dxa"/>
            </w:tcMar>
          </w:tcPr>
          <w:p w:rsidR="00000000" w:rsidRPr="00D21417" w:rsidP="00D21417">
            <w:pPr>
              <w:pStyle w:val="BodyText"/>
            </w:pPr>
            <w:r w:rsidRPr="00D21417">
              <w:t>WHS and environmental management requirements include:</w:t>
            </w:r>
          </w:p>
          <w:p w:rsidR="00000000" w:rsidRPr="00D21417" w:rsidP="00D21417">
            <w:pPr>
              <w:pStyle w:val="BodyText"/>
            </w:pPr>
            <w:r w:rsidRPr="00D21417">
              <w:rPr>
                <w:rStyle w:val="Symbols"/>
              </w:rPr>
              <w:t></w:t>
            </w:r>
            <w:r w:rsidRPr="00D21417">
              <w:rPr>
                <w:rStyle w:val="Symbols"/>
              </w:rPr>
              <w:tab/>
            </w:r>
            <w:r w:rsidRPr="00D21417">
              <w:t xml:space="preserve">complying with WHS and environmental management requirements at all times, which may be imposed through state/territory or federal legislation. These requirements must not be </w:t>
            </w:r>
            <w:r w:rsidRPr="00D21417">
              <w:t>compromised at any time</w:t>
            </w:r>
          </w:p>
          <w:p w:rsidR="00000000" w:rsidRPr="00D21417" w:rsidP="00D21417">
            <w:pPr>
              <w:pStyle w:val="ListBullet"/>
            </w:pPr>
            <w:r w:rsidRPr="00D21417">
              <w:t>applying standard precautions relating to the potentially hazardous nature of samples</w:t>
            </w:r>
          </w:p>
        </w:tc>
      </w:tr>
    </w:tbl>
    <w:p w:rsidR="00000000" w:rsidRPr="00D21417" w:rsidP="00D21417">
      <w:pPr>
        <w:pStyle w:val="BodyText"/>
      </w:pPr>
    </w:p>
    <w:p w:rsidR="00000000" w:rsidRPr="00D21417" w:rsidP="00D21417">
      <w:pPr>
        <w:pStyle w:val="AllowPageBreak"/>
      </w:pPr>
    </w:p>
    <w:p w:rsidR="00000000" w:rsidRPr="00D21417" w:rsidP="00D21417">
      <w:pPr>
        <w:pStyle w:val="Heading1"/>
      </w:pPr>
      <w:bookmarkStart w:id="9" w:name="O_901690"/>
      <w:bookmarkEnd w:id="9"/>
      <w:r w:rsidRPr="00D21417">
        <w:t>Unit Mapping Information</w:t>
      </w:r>
    </w:p>
    <w:p w:rsidR="00000000" w:rsidRPr="00D21417" w:rsidP="003113E3">
      <w:pPr>
        <w:pStyle w:val="BodyText"/>
      </w:pPr>
      <w:r w:rsidRPr="00D21417">
        <w:t>Release 1. Supersedes and is equivalent to MSL975010A Perform fire assay techniques</w:t>
      </w:r>
    </w:p>
    <w:p w:rsidR="00000000" w:rsidRPr="00D21417" w:rsidP="00D21417">
      <w:pPr>
        <w:pStyle w:val="Heading1"/>
      </w:pPr>
      <w:bookmarkStart w:id="10" w:name="O_901683"/>
      <w:bookmarkEnd w:id="10"/>
      <w:r w:rsidRPr="00D21417">
        <w:t>Links</w:t>
      </w:r>
    </w:p>
    <w:p w:rsidR="00000000" w:rsidRPr="00D21417" w:rsidP="003113E3">
      <w:pPr>
        <w:pStyle w:val="BodyText"/>
      </w:pPr>
      <w:r w:rsidRPr="00D21417">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E71148">
        <w:rPr>
          <w:rStyle w:val="Hyperlink"/>
        </w:rPr>
        <w:t>https://vetnet.gov.au/Pages/TrainingDocs.aspx?q=5c63a03b-4a6b-4ae5-9560-1e3c5f462baa</w:t>
      </w:r>
      <w:r>
        <w:fldChar w:fldCharType="end"/>
      </w:r>
    </w:p>
    <w:p w:rsidR="00000000" w:rsidRPr="00D21417" w:rsidP="003113E3">
      <w:pPr>
        <w:pStyle w:val="BodyText"/>
        <w:sectPr w:rsidSect="00D21417">
          <w:headerReference w:type="default" r:id="rId10"/>
          <w:footerReference w:type="default" r:id="rId11"/>
          <w:pgSz w:w="11908" w:h="16833"/>
          <w:pgMar w:top="1702" w:right="1418" w:bottom="1702" w:left="1418" w:header="992" w:footer="992" w:gutter="0"/>
          <w:cols w:space="720"/>
          <w:noEndnote/>
          <w:docGrid w:linePitch="299"/>
        </w:sectPr>
      </w:pPr>
    </w:p>
    <w:p w:rsidR="00000000" w:rsidRPr="00D21417" w:rsidP="00D21417">
      <w:pPr>
        <w:pStyle w:val="SuperHeading"/>
      </w:pPr>
      <w:r w:rsidRPr="00D21417">
        <w:t xml:space="preserve">Assessment Requirements for MSL975010 Perform fire assay </w:t>
      </w:r>
      <w:r w:rsidRPr="00D21417">
        <w:t>techniques</w:t>
      </w:r>
    </w:p>
    <w:p w:rsidR="00000000" w:rsidRPr="00D21417" w:rsidP="00D21417">
      <w:pPr>
        <w:pStyle w:val="Heading1"/>
      </w:pPr>
      <w:bookmarkStart w:id="11" w:name="O_901685"/>
      <w:bookmarkEnd w:id="11"/>
      <w:r w:rsidRPr="00D21417">
        <w:t>Modification History</w:t>
      </w:r>
    </w:p>
    <w:p w:rsidR="00000000" w:rsidRPr="00D21417" w:rsidP="003113E3">
      <w:pPr>
        <w:pStyle w:val="BodyText"/>
      </w:pPr>
      <w:r w:rsidRPr="00D21417">
        <w:t>Release 1. Supersedes and is equivalent to MSL975010A Perform fire assay techniques</w:t>
      </w:r>
    </w:p>
    <w:p w:rsidR="00000000" w:rsidRPr="00D21417" w:rsidP="00D21417">
      <w:pPr>
        <w:pStyle w:val="Heading1"/>
      </w:pPr>
      <w:bookmarkStart w:id="12" w:name="O_901688"/>
      <w:bookmarkEnd w:id="12"/>
      <w:r w:rsidRPr="00D21417">
        <w:t>Performance Evidence</w:t>
      </w:r>
    </w:p>
    <w:p w:rsidR="00000000" w:rsidRPr="00D21417" w:rsidP="003113E3">
      <w:pPr>
        <w:pStyle w:val="BodyText"/>
      </w:pPr>
      <w:r w:rsidRPr="00D21417">
        <w:t>Evidence of competence in this unit must satisfy all of the requirements of the elemen</w:t>
      </w:r>
      <w:r w:rsidRPr="00D21417">
        <w:t>ts and performance criteria, and include demonstration of:</w:t>
      </w:r>
    </w:p>
    <w:p w:rsidR="00000000" w:rsidRPr="00D21417" w:rsidP="00D21417">
      <w:pPr>
        <w:pStyle w:val="ListBullet"/>
      </w:pPr>
      <w:r w:rsidRPr="00D21417">
        <w:t>safely performing fire assay techniques to extract a range of precious metals from their host matrices in readiness for analysis on at least three (3) occasions</w:t>
      </w:r>
    </w:p>
    <w:p w:rsidR="00000000" w:rsidRPr="00D21417" w:rsidP="00D21417">
      <w:pPr>
        <w:pStyle w:val="ListBullet"/>
      </w:pPr>
      <w:r w:rsidRPr="00D21417">
        <w:t xml:space="preserve">interpreting and closely following </w:t>
      </w:r>
      <w:r w:rsidRPr="00D21417">
        <w:t>standard recovery methods</w:t>
      </w:r>
    </w:p>
    <w:p w:rsidR="00000000" w:rsidRPr="00D21417" w:rsidP="00D21417">
      <w:pPr>
        <w:pStyle w:val="ListBullet"/>
      </w:pPr>
      <w:r w:rsidRPr="00D21417">
        <w:t>selecting and modifying laboratory methods to suit particular ores and to ensure total recovery</w:t>
      </w:r>
    </w:p>
    <w:p w:rsidR="00000000" w:rsidRPr="00D21417" w:rsidP="00D21417">
      <w:pPr>
        <w:pStyle w:val="ListBullet"/>
      </w:pPr>
      <w:r w:rsidRPr="00D21417">
        <w:t>accurately weighing samples and flux components</w:t>
      </w:r>
    </w:p>
    <w:p w:rsidR="00000000" w:rsidRPr="00D21417" w:rsidP="00D21417">
      <w:pPr>
        <w:pStyle w:val="ListBullet"/>
      </w:pPr>
      <w:r w:rsidRPr="00D21417">
        <w:t>maintaining close attention to technical and safety requirements in a physically demanding hazardous environment</w:t>
      </w:r>
    </w:p>
    <w:p w:rsidR="00000000" w:rsidRPr="00D21417" w:rsidP="00D21417">
      <w:pPr>
        <w:pStyle w:val="ListBullet"/>
      </w:pPr>
      <w:r w:rsidRPr="00D21417">
        <w:t>maintaining sequential control of samples through all recovery stages</w:t>
      </w:r>
    </w:p>
    <w:p w:rsidR="00000000" w:rsidRPr="00D21417" w:rsidP="00D21417">
      <w:pPr>
        <w:pStyle w:val="ListBullet"/>
      </w:pPr>
      <w:r w:rsidRPr="00D21417">
        <w:t>optimising work flow to ensure efficiency of recovery for multiple client</w:t>
      </w:r>
      <w:r w:rsidRPr="00D21417">
        <w:t xml:space="preserve"> samples</w:t>
      </w:r>
    </w:p>
    <w:p w:rsidR="00000000" w:rsidRPr="00D21417" w:rsidP="00D21417">
      <w:pPr>
        <w:pStyle w:val="ListBullet"/>
      </w:pPr>
      <w:r w:rsidRPr="00D21417">
        <w:t>recognising and identifying the cause of non-acceptable received and fused samples, buttons and prills</w:t>
      </w:r>
    </w:p>
    <w:p w:rsidR="00000000" w:rsidRPr="00D21417" w:rsidP="00D21417">
      <w:pPr>
        <w:pStyle w:val="ListBullet"/>
      </w:pPr>
      <w:r w:rsidRPr="00D21417">
        <w:t>identifying indicators of poor recovery and contamination</w:t>
      </w:r>
    </w:p>
    <w:p w:rsidR="00000000" w:rsidRPr="00D21417" w:rsidP="00D21417">
      <w:pPr>
        <w:pStyle w:val="ListBullet"/>
      </w:pPr>
      <w:r w:rsidRPr="00D21417">
        <w:t>applying knowledge of mineral chemistry and fire assay techniques to solve recovery an</w:t>
      </w:r>
      <w:r w:rsidRPr="00D21417">
        <w:t>d contamination problems</w:t>
      </w:r>
    </w:p>
    <w:p w:rsidR="00000000" w:rsidRPr="00D21417" w:rsidP="00D21417">
      <w:pPr>
        <w:pStyle w:val="ListBullet"/>
      </w:pPr>
      <w:r w:rsidRPr="00D21417">
        <w:t>keeping accurate and complete records, including:</w:t>
      </w:r>
    </w:p>
    <w:p w:rsidR="00000000" w:rsidRPr="00D21417" w:rsidP="00D21417">
      <w:pPr>
        <w:pStyle w:val="ListBullet2"/>
      </w:pPr>
      <w:r w:rsidRPr="00D21417">
        <w:t>pour sheets (date, time, client, pour number and preparation method)</w:t>
      </w:r>
    </w:p>
    <w:p w:rsidR="00000000" w:rsidRPr="00D21417" w:rsidP="00D21417">
      <w:pPr>
        <w:pStyle w:val="ListBullet2"/>
      </w:pPr>
      <w:r w:rsidRPr="00D21417">
        <w:t>number of pots, positions of sample, blank and check in rack</w:t>
      </w:r>
    </w:p>
    <w:p w:rsidR="00000000" w:rsidRPr="00D21417" w:rsidP="00D21417">
      <w:pPr>
        <w:pStyle w:val="ListBullet2"/>
      </w:pPr>
      <w:r w:rsidRPr="00D21417">
        <w:t>adjustments made to standard preparation methods f</w:t>
      </w:r>
      <w:r w:rsidRPr="00D21417">
        <w:t>or specific samples</w:t>
      </w:r>
    </w:p>
    <w:p w:rsidR="00000000" w:rsidRPr="00D21417" w:rsidP="00D21417">
      <w:pPr>
        <w:pStyle w:val="ListBullet2"/>
      </w:pPr>
      <w:r w:rsidRPr="00D21417">
        <w:t>analytical method</w:t>
      </w:r>
    </w:p>
    <w:p w:rsidR="00000000" w:rsidRPr="00D21417" w:rsidP="00D21417">
      <w:pPr>
        <w:pStyle w:val="ListBullet2"/>
      </w:pPr>
      <w:r w:rsidRPr="00D21417">
        <w:t>assay data</w:t>
      </w:r>
    </w:p>
    <w:p w:rsidR="00000000" w:rsidRPr="00D21417" w:rsidP="00D21417">
      <w:pPr>
        <w:pStyle w:val="ListBullet"/>
      </w:pPr>
      <w:r w:rsidRPr="00D21417">
        <w:t>minimising rework, waste and environmental impacts</w:t>
      </w:r>
    </w:p>
    <w:p w:rsidR="00000000" w:rsidRPr="00D21417" w:rsidP="00D21417">
      <w:pPr>
        <w:pStyle w:val="ListBullet"/>
      </w:pPr>
      <w:r w:rsidRPr="00D21417">
        <w:t>safely collecting and disposing of all waste responsibly</w:t>
      </w:r>
    </w:p>
    <w:p w:rsidR="00000000" w:rsidRPr="00D21417" w:rsidP="00D21417">
      <w:pPr>
        <w:pStyle w:val="ListBullet"/>
      </w:pPr>
      <w:r w:rsidRPr="00D21417">
        <w:t>recognising hazards, using workplace safety procedures and safety equipment to work safely at all times.</w:t>
      </w:r>
    </w:p>
    <w:p w:rsidR="00000000" w:rsidRPr="00D21417" w:rsidP="00D21417">
      <w:pPr>
        <w:pStyle w:val="AllowPageBreak"/>
      </w:pPr>
    </w:p>
    <w:p w:rsidR="00000000" w:rsidRPr="00D21417" w:rsidP="00D21417">
      <w:pPr>
        <w:pStyle w:val="Heading1"/>
      </w:pPr>
      <w:bookmarkStart w:id="13" w:name="O_901687"/>
      <w:bookmarkEnd w:id="13"/>
      <w:r w:rsidRPr="00D21417">
        <w:t>Knowledge Evidence</w:t>
      </w:r>
    </w:p>
    <w:p w:rsidR="00000000" w:rsidRPr="00D21417" w:rsidP="003113E3">
      <w:pPr>
        <w:pStyle w:val="BodyText"/>
      </w:pPr>
      <w:r w:rsidRPr="00D21417">
        <w:t>Must provide evidence that demonstrates knowledge of:</w:t>
      </w:r>
    </w:p>
    <w:p w:rsidR="00000000" w:rsidRPr="00D21417" w:rsidP="00D21417">
      <w:pPr>
        <w:pStyle w:val="ListBullet"/>
      </w:pPr>
      <w:r w:rsidRPr="00D21417">
        <w:t>chemical and physical principles relating to:</w:t>
      </w:r>
    </w:p>
    <w:p w:rsidR="00000000" w:rsidRPr="00D21417" w:rsidP="00D21417">
      <w:pPr>
        <w:pStyle w:val="ListBullet2"/>
      </w:pPr>
      <w:r w:rsidRPr="00D21417">
        <w:t>fusion of min</w:t>
      </w:r>
      <w:r w:rsidRPr="00D21417">
        <w:t>eral ores</w:t>
      </w:r>
    </w:p>
    <w:p w:rsidR="00000000" w:rsidRPr="00D21417" w:rsidP="00D21417">
      <w:pPr>
        <w:pStyle w:val="ListBullet2"/>
      </w:pPr>
      <w:r w:rsidRPr="00D21417">
        <w:t>cupellation</w:t>
      </w:r>
    </w:p>
    <w:p w:rsidR="00000000" w:rsidRPr="00D21417" w:rsidP="00D21417">
      <w:pPr>
        <w:pStyle w:val="ListBullet2"/>
      </w:pPr>
      <w:r w:rsidRPr="00D21417">
        <w:t>parting and digestion processes</w:t>
      </w:r>
    </w:p>
    <w:p w:rsidR="00000000" w:rsidRPr="00D21417" w:rsidP="00D21417">
      <w:pPr>
        <w:pStyle w:val="ListBullet"/>
      </w:pPr>
      <w:r w:rsidRPr="00D21417">
        <w:t>expected physical and chemical properties of materials at each recovery stage</w:t>
      </w:r>
    </w:p>
    <w:p w:rsidR="00000000" w:rsidRPr="00D21417" w:rsidP="00D21417">
      <w:pPr>
        <w:pStyle w:val="ListBullet"/>
      </w:pPr>
      <w:r w:rsidRPr="00D21417">
        <w:t>standard methods for the fire assay of a range of precious metal ores relevant to job role</w:t>
      </w:r>
    </w:p>
    <w:p w:rsidR="00000000" w:rsidRPr="00D21417" w:rsidP="00D21417">
      <w:pPr>
        <w:pStyle w:val="ListBullet"/>
      </w:pPr>
      <w:r w:rsidRPr="00D21417">
        <w:t xml:space="preserve">criteria for an </w:t>
      </w:r>
      <w:r>
        <w:t>‘</w:t>
      </w:r>
      <w:r w:rsidRPr="00D21417">
        <w:t>acceptable</w:t>
      </w:r>
      <w:r>
        <w:t>’</w:t>
      </w:r>
      <w:r w:rsidRPr="00D21417">
        <w:t xml:space="preserve"> but</w:t>
      </w:r>
      <w:r w:rsidRPr="00D21417">
        <w:t>ton, including:</w:t>
      </w:r>
    </w:p>
    <w:p w:rsidR="00000000" w:rsidRPr="00D21417" w:rsidP="00D21417">
      <w:pPr>
        <w:pStyle w:val="ListBullet2"/>
      </w:pPr>
      <w:r w:rsidRPr="00D21417">
        <w:t>one piece, mass &gt;20g and &lt;50g</w:t>
      </w:r>
    </w:p>
    <w:p w:rsidR="00000000" w:rsidRPr="00D21417" w:rsidP="00D21417">
      <w:pPr>
        <w:pStyle w:val="ListBullet2"/>
      </w:pPr>
      <w:r w:rsidRPr="00D21417">
        <w:t>malleable</w:t>
      </w:r>
    </w:p>
    <w:p w:rsidR="00000000" w:rsidRPr="00D21417" w:rsidP="00D21417">
      <w:pPr>
        <w:pStyle w:val="ListBullet2"/>
      </w:pPr>
      <w:r w:rsidRPr="00D21417">
        <w:t>separates cleanly from slag</w:t>
      </w:r>
    </w:p>
    <w:p w:rsidR="00000000" w:rsidRPr="00D21417" w:rsidP="00D21417">
      <w:pPr>
        <w:pStyle w:val="ListBullet2"/>
      </w:pPr>
      <w:r w:rsidRPr="00D21417">
        <w:t>free of undecomposed ore, matte and speiss</w:t>
      </w:r>
    </w:p>
    <w:p w:rsidR="00000000" w:rsidRPr="00D21417" w:rsidP="00D21417">
      <w:pPr>
        <w:pStyle w:val="ListBullet"/>
      </w:pPr>
      <w:r w:rsidRPr="00D21417">
        <w:t>causes of contamination, including:</w:t>
      </w:r>
    </w:p>
    <w:p w:rsidR="00000000" w:rsidRPr="00D21417" w:rsidP="00D21417">
      <w:pPr>
        <w:pStyle w:val="ListBullet2"/>
      </w:pPr>
      <w:r w:rsidRPr="00D21417">
        <w:t>poorly made cupels</w:t>
      </w:r>
    </w:p>
    <w:p w:rsidR="00000000" w:rsidRPr="00D21417" w:rsidP="00D21417">
      <w:pPr>
        <w:pStyle w:val="ListBullet2"/>
      </w:pPr>
      <w:r w:rsidRPr="00D21417">
        <w:t>base metals (copper (Cu), nickel (Ni), zinc (Zn) and bismuth (Bi))</w:t>
      </w:r>
    </w:p>
    <w:p w:rsidR="00000000" w:rsidRPr="00D21417" w:rsidP="00D21417">
      <w:pPr>
        <w:pStyle w:val="ListBullet2"/>
      </w:pPr>
      <w:r w:rsidRPr="00D21417">
        <w:t>arsenic (As), sulphur (S), antimony (Sb), selenium (Se), tellurium (Te) and chromium (Cr)</w:t>
      </w:r>
    </w:p>
    <w:p w:rsidR="00000000" w:rsidRPr="00D21417" w:rsidP="00D21417">
      <w:pPr>
        <w:pStyle w:val="ListBullet2"/>
      </w:pPr>
      <w:r w:rsidRPr="00D21417">
        <w:t>scoria</w:t>
      </w:r>
    </w:p>
    <w:p w:rsidR="00000000" w:rsidRPr="00D21417" w:rsidP="00D21417">
      <w:pPr>
        <w:pStyle w:val="ListBullet2"/>
      </w:pPr>
      <w:r w:rsidRPr="00D21417">
        <w:t>sprouting</w:t>
      </w:r>
    </w:p>
    <w:p w:rsidR="00000000" w:rsidRPr="00D21417" w:rsidP="00D21417">
      <w:pPr>
        <w:pStyle w:val="ListBullet"/>
      </w:pPr>
      <w:r w:rsidRPr="00D21417">
        <w:t>indicators of potential loss and the corrective actions, including:</w:t>
      </w:r>
    </w:p>
    <w:p w:rsidR="00000000" w:rsidRPr="00D21417" w:rsidP="00D21417">
      <w:pPr>
        <w:pStyle w:val="ListBullet2"/>
      </w:pPr>
      <w:r w:rsidRPr="00D21417">
        <w:t>viscous slag (check furnace temperature, adjust flux and lower charge weight)</w:t>
      </w:r>
    </w:p>
    <w:p w:rsidR="00000000" w:rsidRPr="00D21417" w:rsidP="00D21417">
      <w:pPr>
        <w:pStyle w:val="ListBullet2"/>
      </w:pPr>
      <w:r w:rsidRPr="00D21417">
        <w:t>l</w:t>
      </w:r>
      <w:r w:rsidRPr="00D21417">
        <w:t>ead shotting (adjust flux and lower charge weight to compensate for high oxides, silicates and chromites)</w:t>
      </w:r>
    </w:p>
    <w:p w:rsidR="00000000" w:rsidRPr="00D21417" w:rsidP="00D21417">
      <w:pPr>
        <w:pStyle w:val="ListBullet2"/>
      </w:pPr>
      <w:r w:rsidRPr="00D21417">
        <w:t>sulphides (adjust fusion time and adjust sample weight and/or flux)</w:t>
      </w:r>
    </w:p>
    <w:p w:rsidR="00000000" w:rsidRPr="00D21417" w:rsidP="00D21417">
      <w:pPr>
        <w:pStyle w:val="ListBullet2"/>
      </w:pPr>
      <w:r w:rsidRPr="00D21417">
        <w:t>matte, speiss (adjust sample weight and flux)</w:t>
      </w:r>
    </w:p>
    <w:p w:rsidR="00000000" w:rsidRPr="00D21417" w:rsidP="00D21417">
      <w:pPr>
        <w:pStyle w:val="ListBullet2"/>
      </w:pPr>
      <w:r w:rsidRPr="00D21417">
        <w:t>incomplete fusion (adjust sample weight and/or flux)</w:t>
      </w:r>
    </w:p>
    <w:p w:rsidR="00000000" w:rsidRPr="00D21417" w:rsidP="00D21417">
      <w:pPr>
        <w:pStyle w:val="ListBullet2"/>
      </w:pPr>
      <w:r w:rsidRPr="00D21417">
        <w:t>unacceptable button (adjust sample weight and/or flux)</w:t>
      </w:r>
    </w:p>
    <w:p w:rsidR="00000000" w:rsidRPr="00D21417" w:rsidP="00D21417">
      <w:pPr>
        <w:pStyle w:val="ListBullet2"/>
      </w:pPr>
      <w:r w:rsidRPr="00D21417">
        <w:t>inquartation (add 3 parts silver (Ag) to prill, wrap in lead foil and re-cupel)</w:t>
      </w:r>
    </w:p>
    <w:p w:rsidR="00000000" w:rsidRPr="00D21417" w:rsidP="00D21417">
      <w:pPr>
        <w:pStyle w:val="ListBullet"/>
      </w:pPr>
      <w:r w:rsidRPr="00D21417">
        <w:t>workplace safety procedures and operation of safety equipment</w:t>
      </w:r>
    </w:p>
    <w:p w:rsidR="00000000" w:rsidRPr="00D21417" w:rsidP="00D21417">
      <w:pPr>
        <w:pStyle w:val="ListBullet"/>
      </w:pPr>
      <w:r w:rsidRPr="00D21417">
        <w:t>funct</w:t>
      </w:r>
      <w:r w:rsidRPr="00D21417">
        <w:t>ion and operation of assay/equipment used as part of job role</w:t>
      </w:r>
    </w:p>
    <w:p w:rsidR="00000000" w:rsidRPr="00D21417" w:rsidP="00D21417">
      <w:pPr>
        <w:pStyle w:val="ListBullet"/>
      </w:pPr>
      <w:r w:rsidRPr="00D21417">
        <w:t>workplace and/or legal traceability requirements</w:t>
      </w:r>
    </w:p>
    <w:p w:rsidR="00000000" w:rsidRPr="00D21417" w:rsidP="00D21417">
      <w:pPr>
        <w:pStyle w:val="ListBullet"/>
      </w:pPr>
      <w:r w:rsidRPr="00D21417">
        <w:t>relevant hazards, work health and safety (WHS) and environment requirements.</w:t>
      </w:r>
    </w:p>
    <w:p w:rsidR="00000000" w:rsidRPr="00D21417" w:rsidP="00D21417">
      <w:pPr>
        <w:pStyle w:val="AllowPageBreak"/>
      </w:pPr>
    </w:p>
    <w:p w:rsidR="00000000" w:rsidRPr="00D21417" w:rsidP="00D21417">
      <w:pPr>
        <w:pStyle w:val="Heading1"/>
      </w:pPr>
      <w:bookmarkStart w:id="14" w:name="O_901686"/>
      <w:bookmarkEnd w:id="14"/>
      <w:r w:rsidRPr="00D21417">
        <w:t>Assessment Conditions</w:t>
      </w:r>
    </w:p>
    <w:p w:rsidR="00000000" w:rsidRPr="00D21417" w:rsidP="00D21417">
      <w:pPr>
        <w:pStyle w:val="ListBullet"/>
      </w:pPr>
      <w:r w:rsidRPr="00D21417">
        <w:t xml:space="preserve">Judgment of competence must be based on holistic assessment of the evidence. Assessment methods must confirm consistency of performance over time, rather than a single assessment event. </w:t>
      </w:r>
    </w:p>
    <w:p w:rsidR="00000000" w:rsidRPr="00D21417" w:rsidP="00D21417">
      <w:pPr>
        <w:pStyle w:val="ListBullet"/>
      </w:pPr>
      <w:r w:rsidRPr="00D21417">
        <w:t>This unit of competency is to be assessed in the workplace or a simul</w:t>
      </w:r>
      <w:r w:rsidRPr="00D21417">
        <w:t>ated workplace environment. A simulated workplace environment must reflect realistic operational workplace conditions that cover all aspects of workplace performance, including the environment, task skills, task management skills, contingency management sk</w:t>
      </w:r>
      <w:r w:rsidRPr="00D21417">
        <w:t>ills and job role environment skills.</w:t>
      </w:r>
    </w:p>
    <w:p w:rsidR="00000000" w:rsidRPr="00D21417" w:rsidP="00D21417">
      <w:pPr>
        <w:pStyle w:val="ListBullet"/>
      </w:pPr>
      <w:r w:rsidRPr="00D21417">
        <w:t xml:space="preserve">Foundation skills are integral to competent performance of the unit and should not be assessed separately. </w:t>
      </w:r>
    </w:p>
    <w:p w:rsidR="00000000" w:rsidRPr="00D21417" w:rsidP="00D21417">
      <w:pPr>
        <w:pStyle w:val="ListBullet"/>
      </w:pPr>
      <w:r w:rsidRPr="00D21417">
        <w:t>Assessment processes and techniques must be appropriate to the language, literacy and numeracy requirements of the work being performed and the needs of the candidate.</w:t>
      </w:r>
    </w:p>
    <w:p w:rsidR="00000000" w:rsidRPr="00D21417" w:rsidP="00D21417">
      <w:pPr>
        <w:pStyle w:val="ListBullet"/>
      </w:pPr>
      <w:r w:rsidRPr="00D21417">
        <w:t>Knowledge evidence may be collected concurrently with performance evidence or through an</w:t>
      </w:r>
      <w:r w:rsidRPr="00D21417">
        <w:t xml:space="preserve"> independent process, such as workbooks, written assessments or interviews (provided a record is kept in each case).</w:t>
      </w:r>
    </w:p>
    <w:p w:rsidR="00000000" w:rsidRPr="00D21417" w:rsidP="00D21417">
      <w:pPr>
        <w:pStyle w:val="ListBullet"/>
      </w:pPr>
      <w:r w:rsidRPr="00D21417">
        <w:t xml:space="preserve">This unit of competency may be assessed with: </w:t>
      </w:r>
    </w:p>
    <w:p w:rsidR="00000000" w:rsidRPr="00D21417" w:rsidP="00D21417">
      <w:pPr>
        <w:pStyle w:val="ListBullet2"/>
      </w:pPr>
      <w:r w:rsidRPr="00D21417">
        <w:t>MSL975020 Apply routine spectrometric techniques</w:t>
      </w:r>
    </w:p>
    <w:p w:rsidR="00000000" w:rsidRPr="00D21417" w:rsidP="00D21417">
      <w:pPr>
        <w:pStyle w:val="ListBullet"/>
      </w:pPr>
      <w:r w:rsidRPr="00D21417">
        <w:t xml:space="preserve">Holistic assessment methods include: </w:t>
      </w:r>
    </w:p>
    <w:p w:rsidR="00000000" w:rsidRPr="00D21417" w:rsidP="00D21417">
      <w:pPr>
        <w:pStyle w:val="ListBullet2"/>
      </w:pPr>
      <w:r w:rsidRPr="00D21417">
        <w:t>ob</w:t>
      </w:r>
      <w:r w:rsidRPr="00D21417">
        <w:t>servation of the candidate</w:t>
      </w:r>
    </w:p>
    <w:p w:rsidR="00000000" w:rsidRPr="00D21417" w:rsidP="00D21417">
      <w:pPr>
        <w:pStyle w:val="ListBullet2"/>
      </w:pPr>
      <w:r w:rsidRPr="00D21417">
        <w:t>review of quality control performance and analytical results traceable to assay samples prepared by the candidate</w:t>
      </w:r>
    </w:p>
    <w:p w:rsidR="00000000" w:rsidRPr="00D21417" w:rsidP="00D21417">
      <w:pPr>
        <w:pStyle w:val="ListBullet2"/>
      </w:pPr>
      <w:r w:rsidRPr="00D21417">
        <w:t>review of sample records prepared by the candidate</w:t>
      </w:r>
    </w:p>
    <w:p w:rsidR="00000000" w:rsidRPr="00D21417" w:rsidP="00D21417">
      <w:pPr>
        <w:pStyle w:val="ListBullet2"/>
      </w:pPr>
      <w:r w:rsidRPr="00D21417">
        <w:t>feedback from supervisors, peers and/or clients about the candid</w:t>
      </w:r>
      <w:r w:rsidRPr="00D21417">
        <w:t>ate’s ability to safely and efficiently extract a range of precious metals from their host matrices in readiness for analysis, provide acceptable buttons and prills, and troubleshoot and correct common recovery failures</w:t>
      </w:r>
    </w:p>
    <w:p w:rsidR="00000000" w:rsidRPr="00D21417" w:rsidP="00D21417">
      <w:pPr>
        <w:pStyle w:val="ListBullet2"/>
      </w:pPr>
      <w:r w:rsidRPr="00D21417">
        <w:t>written/oral questioning about relev</w:t>
      </w:r>
      <w:r w:rsidRPr="00D21417">
        <w:t>ant mineral chemistry principles, precious metal recovery steps, typical problems and corrective actions.</w:t>
      </w:r>
    </w:p>
    <w:p w:rsidR="00000000" w:rsidRPr="00D21417" w:rsidP="00D21417">
      <w:pPr>
        <w:pStyle w:val="ListBullet"/>
      </w:pPr>
      <w:r w:rsidRPr="00D21417">
        <w:t>Access is required to instruments, equipment, materials, workplace documentation, procedures and specifications associated with this unit, including,</w:t>
      </w:r>
      <w:r w:rsidRPr="00D21417">
        <w:t xml:space="preserve"> but not limited to:</w:t>
      </w:r>
    </w:p>
    <w:p w:rsidR="00000000" w:rsidRPr="00D21417" w:rsidP="00D21417">
      <w:pPr>
        <w:pStyle w:val="ListBullet2"/>
      </w:pPr>
      <w:r w:rsidRPr="00D21417">
        <w:t>client requests/documentation, including client profile, sample identification, sample receipt, storage and analyses, and required preparation method/and service charges</w:t>
      </w:r>
    </w:p>
    <w:p w:rsidR="00000000" w:rsidRPr="00D21417" w:rsidP="00D21417">
      <w:pPr>
        <w:pStyle w:val="ListBullet2"/>
      </w:pPr>
      <w:r w:rsidRPr="00D21417">
        <w:t>a variety of precious metal ore samples</w:t>
      </w:r>
    </w:p>
    <w:p w:rsidR="00000000" w:rsidRPr="00D21417" w:rsidP="00D21417">
      <w:pPr>
        <w:pStyle w:val="ListBullet2"/>
      </w:pPr>
      <w:r w:rsidRPr="00D21417">
        <w:t>fire assay methods, examples of assay records, equipment, materials and reagents</w:t>
      </w:r>
    </w:p>
    <w:p w:rsidR="00000000" w:rsidRPr="00D21417" w:rsidP="00D21417">
      <w:pPr>
        <w:pStyle w:val="ListBullet2"/>
      </w:pPr>
      <w:r w:rsidRPr="00D21417">
        <w:t>assay equipment, including:</w:t>
      </w:r>
    </w:p>
    <w:p w:rsidR="00000000" w:rsidRPr="00D21417" w:rsidP="00D21417">
      <w:pPr>
        <w:pStyle w:val="ListBullet2"/>
      </w:pPr>
      <w:r w:rsidRPr="00D21417">
        <w:t>mixing equipment and balances</w:t>
      </w:r>
    </w:p>
    <w:p w:rsidR="00000000" w:rsidRPr="00D21417" w:rsidP="00D21417">
      <w:pPr>
        <w:pStyle w:val="ListBullet2"/>
      </w:pPr>
      <w:r w:rsidRPr="00D21417">
        <w:t>fusion and muffle furnaces and associated spares</w:t>
      </w:r>
    </w:p>
    <w:p w:rsidR="00000000" w:rsidRPr="00D21417" w:rsidP="00D21417">
      <w:pPr>
        <w:pStyle w:val="ListBullet2"/>
      </w:pPr>
      <w:r w:rsidRPr="00D21417">
        <w:t>temperature sensors and hotplates</w:t>
      </w:r>
    </w:p>
    <w:p w:rsidR="00000000" w:rsidRPr="00D21417" w:rsidP="00D21417">
      <w:pPr>
        <w:pStyle w:val="ListBullet2"/>
      </w:pPr>
      <w:r w:rsidRPr="00D21417">
        <w:t>compressed air service, extraction</w:t>
      </w:r>
      <w:r w:rsidRPr="00D21417">
        <w:t xml:space="preserve"> systems and fuel supply lines</w:t>
      </w:r>
    </w:p>
    <w:p w:rsidR="00000000" w:rsidRPr="00D21417" w:rsidP="00D21417">
      <w:pPr>
        <w:pStyle w:val="ListBullet2"/>
      </w:pPr>
      <w:r w:rsidRPr="00D21417">
        <w:t>pots, cupels, pouring equipment, pot loader, trolleys, moulds, tongs and hammers</w:t>
      </w:r>
    </w:p>
    <w:p w:rsidR="00000000" w:rsidRPr="00D21417" w:rsidP="00D21417">
      <w:pPr>
        <w:pStyle w:val="ListBullet2"/>
      </w:pPr>
      <w:r w:rsidRPr="00D21417">
        <w:t>safety equipment and workplace safety procedures.</w:t>
      </w:r>
    </w:p>
    <w:p w:rsidR="00000000" w:rsidRPr="00D21417" w:rsidP="00D21417">
      <w:pPr>
        <w:pStyle w:val="ListBullet"/>
      </w:pPr>
      <w:r w:rsidRPr="00D21417">
        <w:t xml:space="preserve">Assessors must satisfy the assessor competency requirements that are in place at the time of </w:t>
      </w:r>
      <w:r w:rsidRPr="00D21417">
        <w:t xml:space="preserve">the assessment as set by the VET regulator.  </w:t>
      </w:r>
    </w:p>
    <w:p w:rsidR="00000000" w:rsidRPr="00D21417" w:rsidP="00D21417">
      <w:pPr>
        <w:pStyle w:val="ListBullet"/>
      </w:pPr>
      <w:r w:rsidRPr="00D21417">
        <w:t>The assessor must demonstrate both technical competence and currency.</w:t>
      </w:r>
    </w:p>
    <w:p w:rsidR="00000000" w:rsidRPr="00D21417" w:rsidP="00D21417">
      <w:pPr>
        <w:pStyle w:val="ListBullet"/>
      </w:pPr>
      <w:r w:rsidRPr="00D21417">
        <w:t>Technical competence can be demonstrated through:</w:t>
      </w:r>
    </w:p>
    <w:p w:rsidR="00000000" w:rsidRPr="00D21417" w:rsidP="00D21417">
      <w:pPr>
        <w:pStyle w:val="ListBullet2"/>
      </w:pPr>
      <w:r w:rsidRPr="00D21417">
        <w:t>relevant VET or other qualification/Statement of Attainment AND/OR</w:t>
      </w:r>
    </w:p>
    <w:p w:rsidR="00000000" w:rsidRPr="00D21417" w:rsidP="00D21417">
      <w:pPr>
        <w:pStyle w:val="ListBullet2"/>
      </w:pPr>
      <w:r w:rsidRPr="00D21417">
        <w:t>relevant workplace experience.</w:t>
      </w:r>
    </w:p>
    <w:p w:rsidR="00000000" w:rsidRPr="00D21417" w:rsidP="00D21417">
      <w:pPr>
        <w:pStyle w:val="ListBullet"/>
      </w:pPr>
      <w:r w:rsidRPr="00D21417">
        <w:t>Currency can be demonstrated through:</w:t>
      </w:r>
    </w:p>
    <w:p w:rsidR="00000000" w:rsidRPr="00D21417" w:rsidP="00D21417">
      <w:pPr>
        <w:pStyle w:val="ListBullet2"/>
      </w:pPr>
      <w:r w:rsidRPr="00D21417">
        <w:t>performing the competency being assessed as part of current employment OR</w:t>
      </w:r>
    </w:p>
    <w:p w:rsidR="00000000" w:rsidRPr="00D21417" w:rsidP="00D21417">
      <w:pPr>
        <w:pStyle w:val="ListBullet2"/>
      </w:pPr>
      <w:r w:rsidRPr="00D21417">
        <w:t>having consulted with a laboratory about performing the competency being assessed within the last twelve months</w:t>
      </w:r>
      <w:r w:rsidRPr="00D21417">
        <w:t>.</w:t>
      </w:r>
    </w:p>
    <w:p w:rsidR="00000000" w:rsidRPr="00D21417" w:rsidP="00D21417">
      <w:pPr>
        <w:pStyle w:val="AllowPageBreak"/>
      </w:pPr>
    </w:p>
    <w:p w:rsidR="00000000" w:rsidRPr="00D21417" w:rsidP="00D21417">
      <w:pPr>
        <w:pStyle w:val="Heading1"/>
      </w:pPr>
      <w:bookmarkStart w:id="15" w:name="O_901684"/>
      <w:bookmarkEnd w:id="15"/>
      <w:r w:rsidRPr="00D21417">
        <w:t>Links</w:t>
      </w:r>
    </w:p>
    <w:p w:rsidR="00000000" w:rsidRPr="00D21417" w:rsidP="003113E3">
      <w:pPr>
        <w:pStyle w:val="BodyText"/>
      </w:pPr>
      <w:r w:rsidRPr="00D21417">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E71148">
        <w:rPr>
          <w:rStyle w:val="Hyperlink"/>
        </w:rPr>
        <w:t>https://vetnet.gov.au/Pages/TrainingDocs.aspx?q=5c63a03b-4a6b-4ae5-9560-1e3c5f462baa</w:t>
      </w:r>
      <w:r>
        <w:fldChar w:fldCharType="end"/>
      </w:r>
    </w:p>
    <w:p w:rsidR="00000000" w:rsidRPr="00D21417" w:rsidP="00D21417"/>
    <w:sectPr w:rsidSect="00D2141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4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417" w:rsidRPr="003113E3" w:rsidP="003113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4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3E3" w:rsidP="00D214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3113E3" w:rsidP="00D2141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3113E3" w:rsidP="00D2141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417" w:rsidP="00D21417">
    <w:pPr>
      <w:pStyle w:val="Footer"/>
      <w:framePr w:wrap="around"/>
    </w:pPr>
    <w:r>
      <w:fldChar w:fldCharType="begin"/>
    </w:r>
    <w:r>
      <w:instrText xml:space="preserve"> DOCPROPERTY  Subject  \* MERGEFORMAT </w:instrText>
    </w:r>
    <w:r>
      <w:fldChar w:fldCharType="separate"/>
    </w:r>
    <w:r w:rsidR="003113E3">
      <w:t>Approved</w:t>
    </w:r>
    <w:r w:rsidR="003113E3">
      <w:fldChar w:fldCharType="end"/>
    </w:r>
    <w:r>
      <w:tab/>
      <w:t xml:space="preserve">Page </w:t>
    </w:r>
    <w:r>
      <w:fldChar w:fldCharType="begin"/>
    </w:r>
    <w:r>
      <w:instrText xml:space="preserve"> PAGE  \* Arabic  \* MERGEFORMAT </w:instrText>
    </w:r>
    <w:r>
      <w:fldChar w:fldCharType="separate"/>
    </w:r>
    <w:r w:rsidR="003113E3">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113E3">
      <w:rPr>
        <w:noProof/>
      </w:rPr>
      <w:t>8</w:t>
    </w:r>
    <w:r>
      <w:rPr>
        <w:noProof/>
      </w:rPr>
      <w:fldChar w:fldCharType="end"/>
    </w:r>
  </w:p>
  <w:p w:rsidR="00D21417" w:rsidP="00D21417">
    <w:pPr>
      <w:pStyle w:val="Footer"/>
      <w:framePr w:wrap="around"/>
    </w:pPr>
    <w:r>
      <w:t xml:space="preserve">© Commonwealth of Australia, </w:t>
    </w:r>
    <w:r>
      <w:fldChar w:fldCharType="begin"/>
    </w:r>
    <w:r>
      <w:instrText xml:space="preserve"> DATE  \@ "yyyy"  \* MERGEFORMAT </w:instrText>
    </w:r>
    <w:r>
      <w:fldChar w:fldCharType="separate"/>
    </w:r>
    <w:r w:rsidR="003113E3">
      <w:rPr>
        <w:noProof/>
      </w:rPr>
      <w:t>2025</w:t>
    </w:r>
    <w:r>
      <w:fldChar w:fldCharType="end"/>
    </w:r>
    <w:r>
      <w:tab/>
    </w:r>
    <w:r>
      <w:fldChar w:fldCharType="begin"/>
    </w:r>
    <w:r>
      <w:instrText xml:space="preserve"> DOCPROPERTY  Author  \* MERGEFORMAT </w:instrText>
    </w:r>
    <w:r>
      <w:fldChar w:fldCharType="separate"/>
    </w:r>
    <w:r w:rsidR="003113E3">
      <w:t>Manufacturing Industry Skills Alliance</w:t>
    </w:r>
    <w:r w:rsidR="003113E3">
      <w:fldChar w:fldCharType="end"/>
    </w:r>
  </w:p>
  <w:p w:rsidR="00D21417" w:rsidP="00D2141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4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3E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21417" w:rsidRPr="003113E3" w:rsidP="003113E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4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3E3" w:rsidRPr="002D2AF8" w:rsidP="00D21417">
    <w:pPr>
      <w:pStyle w:val="Header"/>
      <w:framePr w:wrap="around"/>
    </w:pPr>
    <w:r>
      <w:fldChar w:fldCharType="begin"/>
    </w:r>
    <w:r>
      <w:instrText xml:space="preserve"> TITLE   \* MERGEFORMAT </w:instrText>
    </w:r>
    <w:r>
      <w:fldChar w:fldCharType="separate"/>
    </w:r>
    <w:r>
      <w:t>MSL975010 Perform fire assay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113E3" w:rsidP="00D2141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417" w:rsidRPr="002D2AF8" w:rsidP="00D21417">
    <w:pPr>
      <w:pStyle w:val="Header"/>
      <w:framePr w:wrap="around"/>
    </w:pPr>
    <w:r>
      <w:fldChar w:fldCharType="begin"/>
    </w:r>
    <w:r>
      <w:instrText xml:space="preserve"> TITLE   \* MERGEFORMAT </w:instrText>
    </w:r>
    <w:r>
      <w:fldChar w:fldCharType="separate"/>
    </w:r>
    <w:r w:rsidR="003113E3">
      <w:t>MSL975010 Perform fire assay techniques</w:t>
    </w:r>
    <w:r w:rsidR="003113E3">
      <w:fldChar w:fldCharType="end"/>
    </w:r>
    <w:r>
      <w:tab/>
      <w:t xml:space="preserve">Date this document was generated: </w:t>
    </w:r>
    <w:r>
      <w:fldChar w:fldCharType="begin"/>
    </w:r>
    <w:r>
      <w:instrText xml:space="preserve"> CREATEDATE  \@ "d MMMM yyyy"  \* MERGEFORMAT </w:instrText>
    </w:r>
    <w:r>
      <w:fldChar w:fldCharType="separate"/>
    </w:r>
    <w:r w:rsidR="003113E3">
      <w:rPr>
        <w:noProof/>
      </w:rPr>
      <w:t>2 March 2025</w:t>
    </w:r>
    <w:r>
      <w:fldChar w:fldCharType="end"/>
    </w:r>
  </w:p>
  <w:p w:rsidR="00D21417" w:rsidP="00D214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4341E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AA25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0C81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14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1417"/>
    <w:pPr>
      <w:spacing w:before="360" w:after="60"/>
      <w:outlineLvl w:val="0"/>
    </w:pPr>
    <w:rPr>
      <w:sz w:val="32"/>
    </w:rPr>
  </w:style>
  <w:style w:type="paragraph" w:styleId="Heading2">
    <w:name w:val="heading 2"/>
    <w:basedOn w:val="HeadingBase"/>
    <w:next w:val="BodyText"/>
    <w:link w:val="Heading2Char"/>
    <w:qFormat/>
    <w:rsid w:val="00D21417"/>
    <w:pPr>
      <w:keepLines/>
      <w:spacing w:before="240" w:after="120"/>
      <w:outlineLvl w:val="1"/>
    </w:pPr>
    <w:rPr>
      <w:sz w:val="28"/>
      <w:szCs w:val="40"/>
    </w:rPr>
  </w:style>
  <w:style w:type="paragraph" w:styleId="Heading3">
    <w:name w:val="heading 3"/>
    <w:basedOn w:val="HeadingBase"/>
    <w:next w:val="BodyText"/>
    <w:link w:val="Heading3Char"/>
    <w:qFormat/>
    <w:rsid w:val="00D21417"/>
    <w:pPr>
      <w:spacing w:before="180" w:after="120"/>
      <w:outlineLvl w:val="2"/>
    </w:pPr>
    <w:rPr>
      <w:spacing w:val="-10"/>
      <w:kern w:val="32"/>
    </w:rPr>
  </w:style>
  <w:style w:type="paragraph" w:styleId="Heading4">
    <w:name w:val="heading 4"/>
    <w:basedOn w:val="HeadingBase"/>
    <w:next w:val="BodyText"/>
    <w:link w:val="Heading4Char"/>
    <w:qFormat/>
    <w:rsid w:val="00D21417"/>
    <w:pPr>
      <w:spacing w:before="160" w:after="120"/>
      <w:outlineLvl w:val="3"/>
    </w:pPr>
    <w:rPr>
      <w:sz w:val="22"/>
    </w:rPr>
  </w:style>
  <w:style w:type="paragraph" w:styleId="Heading5">
    <w:name w:val="heading 5"/>
    <w:basedOn w:val="HeadingBase"/>
    <w:next w:val="Normal"/>
    <w:link w:val="Heading5Char"/>
    <w:qFormat/>
    <w:rsid w:val="00D21417"/>
    <w:pPr>
      <w:spacing w:before="80"/>
      <w:outlineLvl w:val="4"/>
    </w:pPr>
    <w:rPr>
      <w:color w:val="918585"/>
      <w:sz w:val="20"/>
    </w:rPr>
  </w:style>
  <w:style w:type="paragraph" w:styleId="Heading6">
    <w:name w:val="heading 6"/>
    <w:basedOn w:val="HeadingBase"/>
    <w:next w:val="Normal"/>
    <w:link w:val="Heading6Char"/>
    <w:qFormat/>
    <w:rsid w:val="00D21417"/>
    <w:pPr>
      <w:spacing w:before="60"/>
      <w:outlineLvl w:val="5"/>
    </w:pPr>
    <w:rPr>
      <w:color w:val="918585"/>
      <w:sz w:val="20"/>
    </w:rPr>
  </w:style>
  <w:style w:type="paragraph" w:styleId="Heading7">
    <w:name w:val="heading 7"/>
    <w:basedOn w:val="Normal"/>
    <w:next w:val="Normal"/>
    <w:link w:val="Heading7Char"/>
    <w:qFormat/>
    <w:rsid w:val="00D21417"/>
    <w:pPr>
      <w:ind w:left="720"/>
      <w:outlineLvl w:val="6"/>
    </w:pPr>
    <w:rPr>
      <w:i/>
    </w:rPr>
  </w:style>
  <w:style w:type="paragraph" w:styleId="Heading8">
    <w:name w:val="heading 8"/>
    <w:basedOn w:val="Normal"/>
    <w:next w:val="Normal"/>
    <w:link w:val="Heading8Char"/>
    <w:qFormat/>
    <w:rsid w:val="00D21417"/>
    <w:pPr>
      <w:ind w:left="720"/>
      <w:outlineLvl w:val="7"/>
    </w:pPr>
    <w:rPr>
      <w:i/>
    </w:rPr>
  </w:style>
  <w:style w:type="paragraph" w:styleId="Heading9">
    <w:name w:val="heading 9"/>
    <w:basedOn w:val="Normal"/>
    <w:next w:val="Normal"/>
    <w:link w:val="Heading9Char"/>
    <w:qFormat/>
    <w:rsid w:val="00D21417"/>
    <w:pPr>
      <w:ind w:left="720"/>
      <w:outlineLvl w:val="8"/>
    </w:pPr>
    <w:rPr>
      <w:i/>
    </w:rPr>
  </w:style>
  <w:style w:type="character" w:default="1" w:styleId="DefaultParagraphFont">
    <w:name w:val="Default Paragraph Font"/>
    <w:uiPriority w:val="1"/>
    <w:unhideWhenUsed/>
    <w:rsid w:val="00D214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1417"/>
  </w:style>
  <w:style w:type="character" w:customStyle="1" w:styleId="Heading1Char">
    <w:name w:val="Heading 1 Char"/>
    <w:basedOn w:val="DefaultParagraphFont"/>
    <w:link w:val="Heading1"/>
    <w:rsid w:val="00D21417"/>
    <w:rPr>
      <w:rFonts w:ascii="Times New Roman" w:eastAsia="Times New Roman" w:hAnsi="Times New Roman" w:cs="Times New Roman"/>
      <w:b/>
      <w:sz w:val="32"/>
      <w:szCs w:val="20"/>
      <w:lang w:eastAsia="en-US"/>
    </w:rPr>
  </w:style>
  <w:style w:type="paragraph" w:styleId="BodyText">
    <w:name w:val="Body Text"/>
    <w:basedOn w:val="Normal"/>
    <w:link w:val="BodyTextChar"/>
    <w:rsid w:val="00D2141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21417"/>
    <w:rPr>
      <w:rFonts w:ascii="Times New Roman" w:eastAsia="Times New Roman" w:hAnsi="Times New Roman" w:cs="Times New Roman"/>
      <w:sz w:val="24"/>
      <w:lang w:eastAsia="en-US"/>
    </w:rPr>
  </w:style>
  <w:style w:type="paragraph" w:styleId="ListBullet">
    <w:name w:val="List Bullet"/>
    <w:basedOn w:val="List"/>
    <w:rsid w:val="00D21417"/>
    <w:pPr>
      <w:numPr>
        <w:numId w:val="12"/>
      </w:numPr>
      <w:tabs>
        <w:tab w:val="clear" w:pos="340"/>
      </w:tabs>
      <w:spacing w:before="40" w:after="40"/>
    </w:pPr>
  </w:style>
  <w:style w:type="character" w:customStyle="1" w:styleId="SpecialBold">
    <w:name w:val="Special Bold"/>
    <w:basedOn w:val="DefaultParagraphFont"/>
    <w:rsid w:val="00D21417"/>
    <w:rPr>
      <w:b/>
      <w:spacing w:val="0"/>
    </w:rPr>
  </w:style>
  <w:style w:type="paragraph" w:styleId="ListBullet2">
    <w:name w:val="List Bullet 2"/>
    <w:basedOn w:val="List2"/>
    <w:rsid w:val="00D21417"/>
    <w:pPr>
      <w:numPr>
        <w:numId w:val="13"/>
      </w:numPr>
      <w:tabs>
        <w:tab w:val="clear" w:pos="680"/>
      </w:tabs>
    </w:pPr>
  </w:style>
  <w:style w:type="paragraph" w:customStyle="1" w:styleId="SuperHeading">
    <w:name w:val="SuperHeading"/>
    <w:basedOn w:val="Normal"/>
    <w:rsid w:val="00D21417"/>
    <w:pPr>
      <w:spacing w:before="240" w:after="120"/>
      <w:outlineLvl w:val="0"/>
    </w:pPr>
    <w:rPr>
      <w:rFonts w:ascii="Times New Roman" w:hAnsi="Times New Roman"/>
      <w:b/>
      <w:sz w:val="32"/>
    </w:rPr>
  </w:style>
  <w:style w:type="paragraph" w:customStyle="1" w:styleId="AllowPageBreak">
    <w:name w:val="AllowPageBreak"/>
    <w:rsid w:val="00D2141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ubscript">
    <w:name w:val="Subscript"/>
    <w:basedOn w:val="DefaultParagraphFont"/>
    <w:rsid w:val="00D21417"/>
    <w:rPr>
      <w:sz w:val="16"/>
      <w:vertAlign w:val="subscript"/>
    </w:rPr>
  </w:style>
  <w:style w:type="character" w:customStyle="1" w:styleId="Symbols">
    <w:name w:val="Symbols"/>
    <w:basedOn w:val="DefaultParagraphFont"/>
    <w:rsid w:val="00D21417"/>
    <w:rPr>
      <w:rFonts w:ascii="Symbol" w:hAnsi="Symbol"/>
    </w:rPr>
  </w:style>
  <w:style w:type="character" w:customStyle="1" w:styleId="Heading2Char">
    <w:name w:val="Heading 2 Char"/>
    <w:basedOn w:val="DefaultParagraphFont"/>
    <w:link w:val="Heading2"/>
    <w:rsid w:val="00D214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14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14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14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14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14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14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1417"/>
    <w:rPr>
      <w:rFonts w:ascii="Courier New" w:eastAsia="Times New Roman" w:hAnsi="Courier New" w:cs="Times New Roman"/>
      <w:i/>
      <w:szCs w:val="20"/>
      <w:lang w:eastAsia="en-US"/>
    </w:rPr>
  </w:style>
  <w:style w:type="paragraph" w:customStyle="1" w:styleId="HeadingBase">
    <w:name w:val="Heading Base"/>
    <w:rsid w:val="00D214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1417"/>
    <w:pPr>
      <w:tabs>
        <w:tab w:val="right" w:leader="dot" w:pos="9072"/>
      </w:tabs>
      <w:ind w:left="567"/>
    </w:pPr>
    <w:rPr>
      <w:szCs w:val="22"/>
    </w:rPr>
  </w:style>
  <w:style w:type="paragraph" w:customStyle="1" w:styleId="TOCBase">
    <w:name w:val="TOC Base"/>
    <w:rsid w:val="00D214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1417"/>
    <w:pPr>
      <w:tabs>
        <w:tab w:val="right" w:leader="dot" w:pos="9072"/>
      </w:tabs>
      <w:spacing w:before="40" w:after="40"/>
      <w:ind w:left="284"/>
    </w:pPr>
    <w:rPr>
      <w:rFonts w:ascii="Times New Roman" w:hAnsi="Times New Roman"/>
    </w:rPr>
  </w:style>
  <w:style w:type="paragraph" w:styleId="TOC1">
    <w:name w:val="toc 1"/>
    <w:basedOn w:val="TOCBase"/>
    <w:next w:val="Normal"/>
    <w:rsid w:val="00D2141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14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1417"/>
    <w:rPr>
      <w:rFonts w:ascii="Times New Roman" w:eastAsia="Times New Roman" w:hAnsi="Times New Roman" w:cs="Times New Roman"/>
      <w:sz w:val="16"/>
      <w:lang w:eastAsia="en-US"/>
    </w:rPr>
  </w:style>
  <w:style w:type="paragraph" w:styleId="Title">
    <w:name w:val="Title"/>
    <w:basedOn w:val="HeadingBase"/>
    <w:link w:val="TitleChar"/>
    <w:qFormat/>
    <w:rsid w:val="00D21417"/>
    <w:pPr>
      <w:spacing w:before="5040"/>
      <w:jc w:val="center"/>
    </w:pPr>
    <w:rPr>
      <w:sz w:val="48"/>
      <w:szCs w:val="72"/>
      <w:lang w:val="en-US"/>
    </w:rPr>
  </w:style>
  <w:style w:type="character" w:customStyle="1" w:styleId="TitleChar">
    <w:name w:val="Title Char"/>
    <w:basedOn w:val="DefaultParagraphFont"/>
    <w:link w:val="Title"/>
    <w:rsid w:val="00D214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1417"/>
    <w:pPr>
      <w:tabs>
        <w:tab w:val="left" w:pos="3600"/>
        <w:tab w:val="left" w:pos="3958"/>
      </w:tabs>
    </w:pPr>
  </w:style>
  <w:style w:type="paragraph" w:styleId="List">
    <w:name w:val="List"/>
    <w:basedOn w:val="BodyText"/>
    <w:next w:val="BodyText"/>
    <w:rsid w:val="00D21417"/>
    <w:pPr>
      <w:tabs>
        <w:tab w:val="left" w:pos="340"/>
      </w:tabs>
      <w:spacing w:before="60" w:after="60"/>
      <w:ind w:left="340" w:hanging="340"/>
    </w:pPr>
  </w:style>
  <w:style w:type="paragraph" w:customStyle="1" w:styleId="Note">
    <w:name w:val="Note"/>
    <w:basedOn w:val="BodyText"/>
    <w:rsid w:val="00D214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1417"/>
    <w:pPr>
      <w:framePr w:wrap="auto" w:hAnchor="text" w:y="6049"/>
    </w:pPr>
    <w:rPr>
      <w:color w:val="000000"/>
      <w:sz w:val="40"/>
    </w:rPr>
  </w:style>
  <w:style w:type="paragraph" w:customStyle="1" w:styleId="TOCTitle">
    <w:name w:val="TOCTitle"/>
    <w:basedOn w:val="Heading1"/>
    <w:rsid w:val="00D21417"/>
    <w:pPr>
      <w:spacing w:after="240"/>
      <w:jc w:val="center"/>
      <w:outlineLvl w:val="9"/>
    </w:pPr>
    <w:rPr>
      <w:caps/>
    </w:rPr>
  </w:style>
  <w:style w:type="paragraph" w:customStyle="1" w:styleId="Version">
    <w:name w:val="Version"/>
    <w:rsid w:val="00D2141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21417"/>
    <w:pPr>
      <w:keepNext w:val="0"/>
      <w:tabs>
        <w:tab w:val="right" w:pos="4176"/>
      </w:tabs>
      <w:ind w:left="198" w:hanging="198"/>
    </w:pPr>
    <w:rPr>
      <w:rFonts w:ascii="Garamond" w:hAnsi="Garamond"/>
    </w:rPr>
  </w:style>
  <w:style w:type="paragraph" w:styleId="IndexHeading">
    <w:name w:val="index heading"/>
    <w:basedOn w:val="Normal"/>
    <w:next w:val="Index1"/>
    <w:semiHidden/>
    <w:rsid w:val="00D21417"/>
    <w:pPr>
      <w:spacing w:before="120" w:after="120"/>
    </w:pPr>
    <w:rPr>
      <w:rFonts w:ascii="Arial" w:hAnsi="Arial"/>
      <w:b/>
      <w:color w:val="918585"/>
      <w:sz w:val="24"/>
    </w:rPr>
  </w:style>
  <w:style w:type="paragraph" w:styleId="Header">
    <w:name w:val="header"/>
    <w:basedOn w:val="Normal"/>
    <w:link w:val="HeaderChar"/>
    <w:rsid w:val="00D214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1417"/>
    <w:rPr>
      <w:rFonts w:ascii="Times New Roman" w:eastAsia="Times New Roman" w:hAnsi="Times New Roman" w:cs="Times New Roman"/>
      <w:sz w:val="16"/>
      <w:szCs w:val="20"/>
      <w:lang w:val="en-GB" w:eastAsia="en-US"/>
    </w:rPr>
  </w:style>
  <w:style w:type="paragraph" w:customStyle="1" w:styleId="Chapter">
    <w:name w:val="Chapter"/>
    <w:basedOn w:val="Normal"/>
    <w:rsid w:val="00D21417"/>
    <w:pPr>
      <w:spacing w:before="240"/>
    </w:pPr>
    <w:rPr>
      <w:rFonts w:ascii="Times New Roman" w:hAnsi="Times New Roman"/>
      <w:smallCaps/>
      <w:spacing w:val="80"/>
      <w:sz w:val="28"/>
    </w:rPr>
  </w:style>
  <w:style w:type="paragraph" w:customStyle="1" w:styleId="InChapter">
    <w:name w:val="InChapter"/>
    <w:basedOn w:val="Heading3"/>
    <w:rsid w:val="00D21417"/>
    <w:pPr>
      <w:spacing w:after="240"/>
      <w:outlineLvl w:val="9"/>
    </w:pPr>
    <w:rPr>
      <w:noProof/>
    </w:rPr>
  </w:style>
  <w:style w:type="paragraph" w:styleId="Index2">
    <w:name w:val="index 2"/>
    <w:basedOn w:val="Normal"/>
    <w:next w:val="Normal"/>
    <w:semiHidden/>
    <w:rsid w:val="00D21417"/>
    <w:pPr>
      <w:tabs>
        <w:tab w:val="right" w:pos="4176"/>
      </w:tabs>
      <w:ind w:left="568" w:hanging="284"/>
    </w:pPr>
    <w:rPr>
      <w:rFonts w:ascii="Garamond" w:hAnsi="Garamond"/>
    </w:rPr>
  </w:style>
  <w:style w:type="paragraph" w:customStyle="1" w:styleId="Byline">
    <w:name w:val="Byline"/>
    <w:rsid w:val="00D214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1417"/>
    <w:pPr>
      <w:tabs>
        <w:tab w:val="clear" w:pos="3600"/>
        <w:tab w:val="clear" w:pos="3958"/>
      </w:tabs>
      <w:jc w:val="right"/>
    </w:pPr>
  </w:style>
  <w:style w:type="character" w:styleId="Emphasis">
    <w:name w:val="Emphasis"/>
    <w:basedOn w:val="DefaultParagraphFont"/>
    <w:qFormat/>
    <w:rsid w:val="00D21417"/>
    <w:rPr>
      <w:i/>
    </w:rPr>
  </w:style>
  <w:style w:type="paragraph" w:styleId="Caption">
    <w:name w:val="caption"/>
    <w:basedOn w:val="BodyText"/>
    <w:next w:val="Normal"/>
    <w:qFormat/>
    <w:rsid w:val="00D21417"/>
    <w:pPr>
      <w:framePr w:w="2268" w:hSpace="181" w:vSpace="181" w:wrap="around" w:vAnchor="text" w:hAnchor="page" w:x="1135" w:y="285" w:anchorLock="1"/>
    </w:pPr>
    <w:rPr>
      <w:i/>
    </w:rPr>
  </w:style>
  <w:style w:type="paragraph" w:customStyle="1" w:styleId="MiniTOCTitle">
    <w:name w:val="MiniTOCTitle"/>
    <w:basedOn w:val="Heading4"/>
    <w:rsid w:val="00D21417"/>
    <w:pPr>
      <w:spacing w:before="240"/>
      <w:outlineLvl w:val="9"/>
    </w:pPr>
    <w:rPr>
      <w:noProof/>
      <w:sz w:val="24"/>
    </w:rPr>
  </w:style>
  <w:style w:type="paragraph" w:customStyle="1" w:styleId="MiniTOCItem">
    <w:name w:val="MiniTOCItem"/>
    <w:basedOn w:val="ListBullet"/>
    <w:rsid w:val="00D21417"/>
    <w:pPr>
      <w:numPr>
        <w:numId w:val="0"/>
      </w:numPr>
      <w:tabs>
        <w:tab w:val="right" w:leader="dot" w:pos="6521"/>
      </w:tabs>
      <w:spacing w:before="0" w:after="0"/>
    </w:pPr>
  </w:style>
  <w:style w:type="paragraph" w:customStyle="1" w:styleId="TOFTitle">
    <w:name w:val="TOFTitle"/>
    <w:basedOn w:val="TOCTitle"/>
    <w:rsid w:val="00D21417"/>
  </w:style>
  <w:style w:type="paragraph" w:styleId="TableofFigures">
    <w:name w:val="table of figures"/>
    <w:basedOn w:val="Normal"/>
    <w:next w:val="Normal"/>
    <w:semiHidden/>
    <w:rsid w:val="00D21417"/>
    <w:pPr>
      <w:tabs>
        <w:tab w:val="right" w:leader="dot" w:pos="9072"/>
      </w:tabs>
      <w:ind w:left="970" w:hanging="403"/>
    </w:pPr>
    <w:rPr>
      <w:rFonts w:ascii="Times New Roman" w:hAnsi="Times New Roman"/>
      <w:b/>
    </w:rPr>
  </w:style>
  <w:style w:type="paragraph" w:styleId="ListNumber">
    <w:name w:val="List Number"/>
    <w:basedOn w:val="List"/>
    <w:rsid w:val="00D21417"/>
    <w:pPr>
      <w:numPr>
        <w:numId w:val="15"/>
      </w:numPr>
      <w:tabs>
        <w:tab w:val="clear" w:pos="340"/>
      </w:tabs>
    </w:pPr>
  </w:style>
  <w:style w:type="character" w:customStyle="1" w:styleId="WingdingSymbols">
    <w:name w:val="Wingding Symbols"/>
    <w:rsid w:val="00D21417"/>
    <w:rPr>
      <w:rFonts w:ascii="Wingdings" w:hAnsi="Wingdings"/>
    </w:rPr>
  </w:style>
  <w:style w:type="paragraph" w:customStyle="1" w:styleId="TableHeading">
    <w:name w:val="Table Heading"/>
    <w:basedOn w:val="HeadingBase"/>
    <w:rsid w:val="00D21417"/>
    <w:pPr>
      <w:keepLines/>
      <w:pBdr>
        <w:bottom w:val="single" w:sz="6" w:space="1" w:color="918585"/>
      </w:pBdr>
      <w:spacing w:before="240"/>
    </w:pPr>
  </w:style>
  <w:style w:type="character" w:customStyle="1" w:styleId="HotSpot">
    <w:name w:val="HotSpot"/>
    <w:rsid w:val="00D21417"/>
    <w:rPr>
      <w:color w:val="0033CC"/>
      <w:u w:val="none"/>
    </w:rPr>
  </w:style>
  <w:style w:type="paragraph" w:customStyle="1" w:styleId="BodyTextRight">
    <w:name w:val="Body Text Right"/>
    <w:basedOn w:val="BodyText"/>
    <w:rsid w:val="00D21417"/>
    <w:pPr>
      <w:spacing w:before="0" w:after="0"/>
      <w:jc w:val="right"/>
    </w:pPr>
  </w:style>
  <w:style w:type="paragraph" w:styleId="Index3">
    <w:name w:val="index 3"/>
    <w:basedOn w:val="ListNumber2"/>
    <w:next w:val="Normal"/>
    <w:semiHidden/>
    <w:rsid w:val="00D21417"/>
    <w:pPr>
      <w:numPr>
        <w:numId w:val="0"/>
      </w:numPr>
      <w:tabs>
        <w:tab w:val="right" w:leader="dot" w:pos="4176"/>
      </w:tabs>
    </w:pPr>
  </w:style>
  <w:style w:type="paragraph" w:styleId="ListNumber2">
    <w:name w:val="List Number 2"/>
    <w:basedOn w:val="List2"/>
    <w:rsid w:val="00D21417"/>
    <w:pPr>
      <w:numPr>
        <w:numId w:val="10"/>
      </w:numPr>
      <w:tabs>
        <w:tab w:val="clear" w:pos="1060"/>
      </w:tabs>
    </w:pPr>
  </w:style>
  <w:style w:type="paragraph" w:customStyle="1" w:styleId="MarginNote">
    <w:name w:val="Margin Note"/>
    <w:basedOn w:val="BodyText"/>
    <w:rsid w:val="00D214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14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14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1417"/>
    <w:rPr>
      <w:sz w:val="32"/>
    </w:rPr>
  </w:style>
  <w:style w:type="paragraph" w:customStyle="1" w:styleId="HeadingProcedure">
    <w:name w:val="Heading Procedure"/>
    <w:basedOn w:val="HeadingBase"/>
    <w:next w:val="Normal"/>
    <w:rsid w:val="00D21417"/>
    <w:pPr>
      <w:tabs>
        <w:tab w:val="left" w:pos="0"/>
      </w:tabs>
      <w:spacing w:before="120" w:after="60"/>
    </w:pPr>
    <w:rPr>
      <w:i/>
      <w:color w:val="918585"/>
      <w:sz w:val="22"/>
    </w:rPr>
  </w:style>
  <w:style w:type="paragraph" w:customStyle="1" w:styleId="TableBodyText">
    <w:name w:val="Table Body Text"/>
    <w:basedOn w:val="BodyText"/>
    <w:rsid w:val="00D21417"/>
    <w:pPr>
      <w:spacing w:before="60" w:after="60"/>
    </w:pPr>
  </w:style>
  <w:style w:type="paragraph" w:styleId="ListContinue">
    <w:name w:val="List Continue"/>
    <w:basedOn w:val="List"/>
    <w:rsid w:val="00D21417"/>
    <w:pPr>
      <w:ind w:firstLine="0"/>
    </w:pPr>
  </w:style>
  <w:style w:type="paragraph" w:customStyle="1" w:styleId="ListNote">
    <w:name w:val="List Note"/>
    <w:basedOn w:val="List"/>
    <w:rsid w:val="00D21417"/>
    <w:pPr>
      <w:pBdr>
        <w:top w:val="single" w:sz="6" w:space="2" w:color="918585"/>
        <w:bottom w:val="single" w:sz="6" w:space="2" w:color="918585"/>
      </w:pBdr>
      <w:tabs>
        <w:tab w:val="left" w:pos="1021"/>
      </w:tabs>
      <w:ind w:firstLine="0"/>
    </w:pPr>
  </w:style>
  <w:style w:type="paragraph" w:customStyle="1" w:styleId="Warning">
    <w:name w:val="Warning"/>
    <w:basedOn w:val="BodyText"/>
    <w:rsid w:val="00D21417"/>
    <w:pPr>
      <w:shd w:val="clear" w:color="auto" w:fill="D9D9D9"/>
      <w:tabs>
        <w:tab w:val="left" w:pos="992"/>
      </w:tabs>
      <w:ind w:left="119" w:right="119"/>
    </w:pPr>
    <w:rPr>
      <w:sz w:val="20"/>
    </w:rPr>
  </w:style>
  <w:style w:type="paragraph" w:customStyle="1" w:styleId="MarginIcons">
    <w:name w:val="Margin Icons"/>
    <w:basedOn w:val="BodyText"/>
    <w:rsid w:val="00D214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1417"/>
    <w:rPr>
      <w:rFonts w:ascii="Courier New" w:hAnsi="Courier New"/>
    </w:rPr>
  </w:style>
  <w:style w:type="paragraph" w:customStyle="1" w:styleId="NoteBullet">
    <w:name w:val="Note Bullet"/>
    <w:basedOn w:val="Note"/>
    <w:rsid w:val="00D21417"/>
    <w:pPr>
      <w:tabs>
        <w:tab w:val="clear" w:pos="680"/>
      </w:tabs>
      <w:spacing w:before="60" w:after="60"/>
    </w:pPr>
  </w:style>
  <w:style w:type="paragraph" w:customStyle="1" w:styleId="SubHeading2">
    <w:name w:val="SubHeading2"/>
    <w:basedOn w:val="HeadingBase"/>
    <w:rsid w:val="00D21417"/>
    <w:pPr>
      <w:spacing w:before="240" w:after="60"/>
    </w:pPr>
    <w:rPr>
      <w:sz w:val="20"/>
    </w:rPr>
  </w:style>
  <w:style w:type="paragraph" w:customStyle="1" w:styleId="SubHeading1">
    <w:name w:val="SubHeading1"/>
    <w:basedOn w:val="HeadingBase"/>
    <w:rsid w:val="00D21417"/>
    <w:pPr>
      <w:spacing w:before="240" w:after="60"/>
    </w:pPr>
    <w:rPr>
      <w:color w:val="918585"/>
      <w:sz w:val="22"/>
    </w:rPr>
  </w:style>
  <w:style w:type="paragraph" w:customStyle="1" w:styleId="SideHeading">
    <w:name w:val="Side Heading"/>
    <w:basedOn w:val="HeadingBase"/>
    <w:rsid w:val="00D214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1417"/>
    <w:pPr>
      <w:tabs>
        <w:tab w:val="num" w:pos="360"/>
      </w:tabs>
    </w:pPr>
  </w:style>
  <w:style w:type="paragraph" w:styleId="PlainText">
    <w:name w:val="Plain Text"/>
    <w:basedOn w:val="Normal"/>
    <w:link w:val="PlainTextChar"/>
    <w:rsid w:val="00D21417"/>
    <w:rPr>
      <w:sz w:val="20"/>
    </w:rPr>
  </w:style>
  <w:style w:type="character" w:customStyle="1" w:styleId="PlainTextChar">
    <w:name w:val="Plain Text Char"/>
    <w:basedOn w:val="DefaultParagraphFont"/>
    <w:link w:val="PlainText"/>
    <w:rsid w:val="00D21417"/>
    <w:rPr>
      <w:rFonts w:ascii="Courier New" w:eastAsia="Times New Roman" w:hAnsi="Courier New" w:cs="Times New Roman"/>
      <w:sz w:val="20"/>
      <w:szCs w:val="20"/>
      <w:lang w:eastAsia="en-US"/>
    </w:rPr>
  </w:style>
  <w:style w:type="character" w:customStyle="1" w:styleId="MenuOption">
    <w:name w:val="Menu Option"/>
    <w:basedOn w:val="DefaultParagraphFont"/>
    <w:rsid w:val="00D21417"/>
    <w:rPr>
      <w:b/>
      <w:smallCaps/>
    </w:rPr>
  </w:style>
  <w:style w:type="paragraph" w:customStyle="1" w:styleId="TableListNumber">
    <w:name w:val="Table List Number"/>
    <w:basedOn w:val="ListNumber"/>
    <w:rsid w:val="00D21417"/>
    <w:pPr>
      <w:numPr>
        <w:numId w:val="0"/>
      </w:numPr>
    </w:pPr>
  </w:style>
  <w:style w:type="paragraph" w:styleId="TOC4">
    <w:name w:val="toc 4"/>
    <w:basedOn w:val="TOCBase"/>
    <w:next w:val="Normal"/>
    <w:semiHidden/>
    <w:rsid w:val="00D21417"/>
    <w:pPr>
      <w:tabs>
        <w:tab w:val="right" w:leader="dot" w:pos="9071"/>
      </w:tabs>
      <w:ind w:left="1701"/>
    </w:pPr>
  </w:style>
  <w:style w:type="paragraph" w:customStyle="1" w:styleId="ListAlpha">
    <w:name w:val="List Alpha"/>
    <w:basedOn w:val="List"/>
    <w:rsid w:val="00D21417"/>
    <w:pPr>
      <w:numPr>
        <w:numId w:val="9"/>
      </w:numPr>
    </w:pPr>
  </w:style>
  <w:style w:type="paragraph" w:customStyle="1" w:styleId="ListAlpha2">
    <w:name w:val="List Alpha 2"/>
    <w:basedOn w:val="List2"/>
    <w:rsid w:val="00D21417"/>
    <w:pPr>
      <w:numPr>
        <w:numId w:val="8"/>
      </w:numPr>
    </w:pPr>
  </w:style>
  <w:style w:type="paragraph" w:styleId="List2">
    <w:name w:val="List 2"/>
    <w:basedOn w:val="BodyText"/>
    <w:rsid w:val="00D21417"/>
    <w:pPr>
      <w:tabs>
        <w:tab w:val="left" w:pos="680"/>
      </w:tabs>
      <w:spacing w:before="60" w:after="60"/>
      <w:ind w:left="680" w:hanging="340"/>
    </w:pPr>
  </w:style>
  <w:style w:type="paragraph" w:styleId="List3">
    <w:name w:val="List 3"/>
    <w:basedOn w:val="BodyText"/>
    <w:rsid w:val="00D21417"/>
    <w:pPr>
      <w:tabs>
        <w:tab w:val="left" w:pos="1021"/>
      </w:tabs>
      <w:spacing w:before="60" w:after="60"/>
      <w:ind w:left="1020" w:hanging="340"/>
    </w:pPr>
  </w:style>
  <w:style w:type="paragraph" w:styleId="List4">
    <w:name w:val="List 4"/>
    <w:basedOn w:val="BodyText"/>
    <w:rsid w:val="00D21417"/>
    <w:pPr>
      <w:tabs>
        <w:tab w:val="left" w:pos="1361"/>
      </w:tabs>
      <w:spacing w:before="60" w:after="60"/>
      <w:ind w:left="1361" w:hanging="340"/>
    </w:pPr>
  </w:style>
  <w:style w:type="paragraph" w:styleId="List5">
    <w:name w:val="List 5"/>
    <w:basedOn w:val="BodyText"/>
    <w:rsid w:val="00D21417"/>
    <w:pPr>
      <w:tabs>
        <w:tab w:val="left" w:pos="1701"/>
      </w:tabs>
      <w:spacing w:before="60" w:after="60"/>
      <w:ind w:left="1701" w:hanging="340"/>
    </w:pPr>
  </w:style>
  <w:style w:type="paragraph" w:styleId="ListBullet3">
    <w:name w:val="List Bullet 3"/>
    <w:basedOn w:val="List3"/>
    <w:rsid w:val="00D21417"/>
    <w:pPr>
      <w:numPr>
        <w:numId w:val="14"/>
      </w:numPr>
      <w:tabs>
        <w:tab w:val="clear" w:pos="1021"/>
      </w:tabs>
      <w:ind w:left="1037" w:hanging="357"/>
    </w:pPr>
  </w:style>
  <w:style w:type="paragraph" w:styleId="ListBullet4">
    <w:name w:val="List Bullet 4"/>
    <w:basedOn w:val="List4"/>
    <w:rsid w:val="00D21417"/>
    <w:pPr>
      <w:numPr>
        <w:numId w:val="3"/>
      </w:numPr>
      <w:tabs>
        <w:tab w:val="clear" w:pos="1361"/>
      </w:tabs>
    </w:pPr>
  </w:style>
  <w:style w:type="paragraph" w:styleId="ListBullet5">
    <w:name w:val="List Bullet 5"/>
    <w:basedOn w:val="List5"/>
    <w:rsid w:val="00D21417"/>
    <w:pPr>
      <w:numPr>
        <w:numId w:val="4"/>
      </w:numPr>
    </w:pPr>
  </w:style>
  <w:style w:type="paragraph" w:styleId="ListContinue2">
    <w:name w:val="List Continue 2"/>
    <w:basedOn w:val="List2"/>
    <w:rsid w:val="00D21417"/>
    <w:pPr>
      <w:ind w:firstLine="0"/>
    </w:pPr>
  </w:style>
  <w:style w:type="paragraph" w:styleId="ListContinue3">
    <w:name w:val="List Continue 3"/>
    <w:basedOn w:val="List3"/>
    <w:rsid w:val="00D21417"/>
    <w:pPr>
      <w:ind w:left="1021" w:firstLine="0"/>
    </w:pPr>
  </w:style>
  <w:style w:type="paragraph" w:styleId="ListContinue4">
    <w:name w:val="List Continue 4"/>
    <w:basedOn w:val="List4"/>
    <w:rsid w:val="00D21417"/>
    <w:pPr>
      <w:ind w:firstLine="0"/>
    </w:pPr>
  </w:style>
  <w:style w:type="paragraph" w:styleId="ListContinue5">
    <w:name w:val="List Continue 5"/>
    <w:basedOn w:val="List5"/>
    <w:rsid w:val="00D21417"/>
    <w:pPr>
      <w:ind w:firstLine="0"/>
    </w:pPr>
  </w:style>
  <w:style w:type="paragraph" w:styleId="ListNumber3">
    <w:name w:val="List Number 3"/>
    <w:basedOn w:val="List3"/>
    <w:rsid w:val="00D21417"/>
    <w:pPr>
      <w:numPr>
        <w:numId w:val="5"/>
      </w:numPr>
    </w:pPr>
  </w:style>
  <w:style w:type="paragraph" w:styleId="ListNumber4">
    <w:name w:val="List Number 4"/>
    <w:basedOn w:val="List4"/>
    <w:rsid w:val="00D21417"/>
    <w:pPr>
      <w:numPr>
        <w:numId w:val="6"/>
      </w:numPr>
    </w:pPr>
  </w:style>
  <w:style w:type="paragraph" w:styleId="ListNumber5">
    <w:name w:val="List Number 5"/>
    <w:basedOn w:val="List5"/>
    <w:rsid w:val="00D21417"/>
    <w:pPr>
      <w:numPr>
        <w:numId w:val="7"/>
      </w:numPr>
    </w:pPr>
  </w:style>
  <w:style w:type="paragraph" w:styleId="BlockText">
    <w:name w:val="Block Text"/>
    <w:basedOn w:val="Normal"/>
    <w:rsid w:val="00D21417"/>
    <w:pPr>
      <w:spacing w:after="120"/>
      <w:ind w:left="1440" w:right="1440"/>
    </w:pPr>
  </w:style>
  <w:style w:type="character" w:customStyle="1" w:styleId="Superscript">
    <w:name w:val="Superscript"/>
    <w:basedOn w:val="DefaultParagraphFont"/>
    <w:rsid w:val="00D21417"/>
    <w:rPr>
      <w:sz w:val="16"/>
      <w:vertAlign w:val="superscript"/>
    </w:rPr>
  </w:style>
  <w:style w:type="character" w:customStyle="1" w:styleId="MenuOptions">
    <w:name w:val="Menu Options"/>
    <w:basedOn w:val="DefaultParagraphFont"/>
    <w:rsid w:val="00D21417"/>
    <w:rPr>
      <w:rFonts w:ascii="Arial Narrow" w:hAnsi="Arial Narrow"/>
      <w:smallCaps/>
    </w:rPr>
  </w:style>
  <w:style w:type="character" w:customStyle="1" w:styleId="Buttons">
    <w:name w:val="Buttons"/>
    <w:basedOn w:val="DefaultParagraphFont"/>
    <w:rsid w:val="00D21417"/>
    <w:rPr>
      <w:b/>
    </w:rPr>
  </w:style>
  <w:style w:type="character" w:customStyle="1" w:styleId="Underlined">
    <w:name w:val="Underlined"/>
    <w:basedOn w:val="DefaultParagraphFont"/>
    <w:rsid w:val="00D21417"/>
    <w:rPr>
      <w:u w:val="single"/>
    </w:rPr>
  </w:style>
  <w:style w:type="paragraph" w:customStyle="1" w:styleId="TableBodyTextRight">
    <w:name w:val="Table Body Text Right"/>
    <w:basedOn w:val="TableBodyText"/>
    <w:rsid w:val="00D21417"/>
    <w:pPr>
      <w:widowControl w:val="0"/>
      <w:autoSpaceDE w:val="0"/>
      <w:autoSpaceDN w:val="0"/>
      <w:adjustRightInd w:val="0"/>
      <w:jc w:val="right"/>
    </w:pPr>
    <w:rPr>
      <w:rFonts w:cs="Arial"/>
      <w:szCs w:val="18"/>
    </w:rPr>
  </w:style>
  <w:style w:type="paragraph" w:customStyle="1" w:styleId="CopyrightText">
    <w:name w:val="Copyright Text"/>
    <w:basedOn w:val="BodyText"/>
    <w:rsid w:val="00D21417"/>
    <w:rPr>
      <w:sz w:val="18"/>
    </w:rPr>
  </w:style>
  <w:style w:type="paragraph" w:customStyle="1" w:styleId="BodySmallRight">
    <w:name w:val="Body Small Right"/>
    <w:basedOn w:val="BodyTextRight"/>
    <w:rsid w:val="00D21417"/>
    <w:rPr>
      <w:sz w:val="18"/>
      <w:szCs w:val="18"/>
    </w:rPr>
  </w:style>
  <w:style w:type="paragraph" w:customStyle="1" w:styleId="MarginEdition">
    <w:name w:val="Margin Edition"/>
    <w:basedOn w:val="MarginNote"/>
    <w:rsid w:val="00D21417"/>
    <w:pPr>
      <w:spacing w:before="0" w:after="0"/>
    </w:pPr>
    <w:rPr>
      <w:rFonts w:ascii="Times New Roman" w:hAnsi="Times New Roman"/>
      <w:color w:val="999999"/>
    </w:rPr>
  </w:style>
  <w:style w:type="paragraph" w:customStyle="1" w:styleId="Spacer">
    <w:name w:val="Spacer"/>
    <w:basedOn w:val="Normal"/>
    <w:rsid w:val="00D21417"/>
    <w:rPr>
      <w:sz w:val="2"/>
      <w:szCs w:val="2"/>
    </w:rPr>
  </w:style>
  <w:style w:type="character" w:customStyle="1" w:styleId="Small">
    <w:name w:val="Small"/>
    <w:basedOn w:val="DefaultParagraphFont"/>
    <w:rsid w:val="00D21417"/>
    <w:rPr>
      <w:sz w:val="16"/>
    </w:rPr>
  </w:style>
  <w:style w:type="paragraph" w:customStyle="1" w:styleId="WideTable">
    <w:name w:val="Wide Table"/>
    <w:basedOn w:val="Normal"/>
    <w:rsid w:val="00D21417"/>
    <w:pPr>
      <w:ind w:left="-1418"/>
    </w:pPr>
    <w:rPr>
      <w:sz w:val="2"/>
      <w:szCs w:val="2"/>
    </w:rPr>
  </w:style>
  <w:style w:type="character" w:styleId="PageNumber">
    <w:name w:val="page number"/>
    <w:basedOn w:val="DefaultParagraphFont"/>
    <w:rsid w:val="00D21417"/>
  </w:style>
  <w:style w:type="paragraph" w:styleId="Quote">
    <w:name w:val="Quote"/>
    <w:basedOn w:val="Heading1"/>
    <w:link w:val="QuoteChar"/>
    <w:qFormat/>
    <w:rsid w:val="00D21417"/>
    <w:rPr>
      <w:b w:val="0"/>
      <w:sz w:val="72"/>
      <w:szCs w:val="72"/>
      <w:lang w:val="en-NZ"/>
    </w:rPr>
  </w:style>
  <w:style w:type="character" w:customStyle="1" w:styleId="QuoteChar">
    <w:name w:val="Quote Char"/>
    <w:basedOn w:val="DefaultParagraphFont"/>
    <w:link w:val="Quote"/>
    <w:rsid w:val="00D214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1417"/>
    <w:pPr>
      <w:pageBreakBefore/>
    </w:pPr>
  </w:style>
  <w:style w:type="paragraph" w:customStyle="1" w:styleId="Border">
    <w:name w:val="Border"/>
    <w:basedOn w:val="Normal"/>
    <w:qFormat/>
    <w:rsid w:val="00D214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1417"/>
    <w:rPr>
      <w:b/>
      <w:bCs/>
      <w:i/>
      <w:iCs/>
      <w:color w:val="auto"/>
    </w:rPr>
  </w:style>
  <w:style w:type="paragraph" w:styleId="IntenseQuote">
    <w:name w:val="Intense Quote"/>
    <w:basedOn w:val="Normal"/>
    <w:next w:val="Normal"/>
    <w:link w:val="IntenseQuoteChar"/>
    <w:uiPriority w:val="30"/>
    <w:qFormat/>
    <w:rsid w:val="00D214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14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1417"/>
    <w:rPr>
      <w:smallCaps/>
      <w:color w:val="auto"/>
      <w:u w:val="single"/>
    </w:rPr>
  </w:style>
  <w:style w:type="character" w:styleId="IntenseReference">
    <w:name w:val="Intense Reference"/>
    <w:basedOn w:val="DefaultParagraphFont"/>
    <w:uiPriority w:val="32"/>
    <w:qFormat/>
    <w:rsid w:val="00D21417"/>
    <w:rPr>
      <w:b/>
      <w:bCs/>
      <w:smallCaps/>
      <w:color w:val="auto"/>
      <w:spacing w:val="5"/>
      <w:u w:val="single"/>
    </w:rPr>
  </w:style>
  <w:style w:type="paragraph" w:customStyle="1" w:styleId="2ColumnHeading">
    <w:name w:val="2Column Heading"/>
    <w:basedOn w:val="BodyText"/>
    <w:qFormat/>
    <w:rsid w:val="00D21417"/>
    <w:pPr>
      <w:spacing w:after="60"/>
      <w:ind w:left="-2268"/>
    </w:pPr>
    <w:rPr>
      <w:b/>
    </w:rPr>
  </w:style>
  <w:style w:type="paragraph" w:customStyle="1" w:styleId="Heading1TOC">
    <w:name w:val="Heading1 TOC"/>
    <w:basedOn w:val="Normal"/>
    <w:qFormat/>
    <w:rsid w:val="00D21417"/>
    <w:pPr>
      <w:spacing w:before="240" w:after="120"/>
    </w:pPr>
    <w:rPr>
      <w:rFonts w:ascii="Times New Roman" w:hAnsi="Times New Roman"/>
      <w:b/>
      <w:sz w:val="32"/>
    </w:rPr>
  </w:style>
  <w:style w:type="paragraph" w:customStyle="1" w:styleId="Heading2TOC">
    <w:name w:val="Heading2 TOC"/>
    <w:basedOn w:val="Normal"/>
    <w:qFormat/>
    <w:rsid w:val="00D21417"/>
    <w:pPr>
      <w:spacing w:before="240" w:after="60"/>
    </w:pPr>
    <w:rPr>
      <w:rFonts w:ascii="Times New Roman" w:hAnsi="Times New Roman"/>
      <w:b/>
      <w:sz w:val="28"/>
    </w:rPr>
  </w:style>
  <w:style w:type="character" w:customStyle="1" w:styleId="Underline">
    <w:name w:val="Underline"/>
    <w:basedOn w:val="DefaultParagraphFont"/>
    <w:qFormat/>
    <w:rsid w:val="00D21417"/>
    <w:rPr>
      <w:u w:val="single"/>
    </w:rPr>
  </w:style>
  <w:style w:type="character" w:customStyle="1" w:styleId="BoldandItalics">
    <w:name w:val="Bold and Italics"/>
    <w:qFormat/>
    <w:rsid w:val="00D21417"/>
    <w:rPr>
      <w:b/>
      <w:i/>
      <w:u w:val="none"/>
    </w:rPr>
  </w:style>
  <w:style w:type="paragraph" w:styleId="BalloonText">
    <w:name w:val="Balloon Text"/>
    <w:basedOn w:val="Normal"/>
    <w:link w:val="BalloonTextChar"/>
    <w:rsid w:val="00D21417"/>
    <w:rPr>
      <w:rFonts w:ascii="Tahoma" w:hAnsi="Tahoma" w:cs="Tahoma"/>
      <w:sz w:val="16"/>
      <w:szCs w:val="16"/>
    </w:rPr>
  </w:style>
  <w:style w:type="character" w:customStyle="1" w:styleId="BalloonTextChar">
    <w:name w:val="Balloon Text Char"/>
    <w:basedOn w:val="DefaultParagraphFont"/>
    <w:link w:val="BalloonText"/>
    <w:rsid w:val="00D214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141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214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1417"/>
    <w:rPr>
      <w:b/>
      <w:color w:val="660033"/>
      <w:spacing w:val="0"/>
    </w:rPr>
  </w:style>
  <w:style w:type="paragraph" w:customStyle="1" w:styleId="Nameditemlist">
    <w:name w:val="Named item list"/>
    <w:basedOn w:val="BodyText"/>
    <w:qFormat/>
    <w:rsid w:val="00D21417"/>
    <w:pPr>
      <w:tabs>
        <w:tab w:val="left" w:pos="2835"/>
      </w:tabs>
      <w:ind w:left="2835" w:hanging="2835"/>
    </w:pPr>
  </w:style>
  <w:style w:type="paragraph" w:customStyle="1" w:styleId="BodyTextnopadding">
    <w:name w:val="Body Text no padding"/>
    <w:basedOn w:val="BodyText"/>
    <w:qFormat/>
    <w:rsid w:val="00D21417"/>
    <w:pPr>
      <w:spacing w:before="0" w:after="0"/>
    </w:pPr>
  </w:style>
  <w:style w:type="paragraph" w:customStyle="1" w:styleId="BodyTextBold">
    <w:name w:val="Body Text Bold"/>
    <w:basedOn w:val="BodyText"/>
    <w:qFormat/>
    <w:rsid w:val="00D21417"/>
    <w:rPr>
      <w:b/>
    </w:rPr>
  </w:style>
  <w:style w:type="character" w:styleId="Hyperlink">
    <w:name w:val="Hyperlink"/>
    <w:basedOn w:val="DefaultParagraphFont"/>
    <w:uiPriority w:val="99"/>
    <w:unhideWhenUsed/>
    <w:rsid w:val="003113E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2225</Words>
  <Characters>14043</Characters>
  <Application>Microsoft Office Word</Application>
  <DocSecurity>0</DocSecurity>
  <Lines>484</Lines>
  <Paragraphs>295</Paragraphs>
  <ScaleCrop>false</ScaleCrop>
  <Company>Author-it Software Corporation Ltd.</Company>
  <LinksUpToDate>false</LinksUpToDate>
  <CharactersWithSpaces>15973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MSL975010 Perform fire assay techniques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2025-03-01T13:06:00Z</dcterms:created>
  <dcterms:modified xsi:type="dcterms:W3CDTF">2025-03-01T13:06:00Z</dcterms:modified>
</cp:coreProperties>
</file>