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5F0" w:rsidP="00AB5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MSL975009 Apply routine chromatographic techniques</w:t>
      </w:r>
      <w:r>
        <w:fldChar w:fldCharType="end"/>
      </w:r>
    </w:p>
    <w:p w:rsidR="00AB55F0" w:rsidP="00AB55F0">
      <w:pPr>
        <w:pStyle w:val="Version"/>
        <w:sectPr w:rsidSect="007A7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6F2" w:rsidP="007A76F2">
      <w:pPr>
        <w:pStyle w:val="SuperHeading"/>
      </w:pPr>
      <w:r w:rsidRPr="007A76F2">
        <w:t>MSL975009 Apply routine chromatographic techniques</w:t>
      </w:r>
    </w:p>
    <w:p w:rsidR="00000000" w:rsidRPr="007A76F2" w:rsidP="007A76F2">
      <w:pPr>
        <w:pStyle w:val="Heading1"/>
      </w:pPr>
      <w:bookmarkStart w:id="1" w:name="O_901670"/>
      <w:bookmarkEnd w:id="1"/>
      <w:r w:rsidRPr="007A76F2">
        <w:t>Modification History</w:t>
      </w:r>
    </w:p>
    <w:p w:rsidR="00000000" w:rsidRPr="007A76F2" w:rsidP="00AB55F0">
      <w:pPr>
        <w:pStyle w:val="BodyText"/>
      </w:pPr>
      <w:r w:rsidRPr="007A76F2">
        <w:t>Release 1. Supersedes and is equivalent to MSL975009A Apply routine chromatographic techniques</w:t>
      </w:r>
    </w:p>
    <w:p w:rsidR="00000000" w:rsidRPr="007A76F2" w:rsidP="007A76F2">
      <w:pPr>
        <w:pStyle w:val="Heading1"/>
      </w:pPr>
      <w:bookmarkStart w:id="2" w:name="O_901678"/>
      <w:bookmarkEnd w:id="2"/>
      <w:r w:rsidRPr="007A76F2">
        <w:t>Application</w:t>
      </w:r>
    </w:p>
    <w:p w:rsidR="00000000" w:rsidRPr="007A76F2" w:rsidP="00AB55F0">
      <w:pPr>
        <w:pStyle w:val="BodyText"/>
      </w:pPr>
      <w:r w:rsidRPr="007A76F2">
        <w:t>This unit of competency covers the ability to analyse samples using routine chromatographic techniques.</w:t>
      </w:r>
      <w:r w:rsidRPr="007A76F2">
        <w:t xml:space="preserve"> The unit also includes establishing client needs for routine and non-routine samples, optimising workplace procedures and instruments for specific samples, obtaining valid and reliable data and reporting test results. Personnel are required to recognise a</w:t>
      </w:r>
      <w:r w:rsidRPr="007A76F2">
        <w:t>typical test data/results and troubleshoot common analytical procedure and equipment problems.</w:t>
      </w:r>
    </w:p>
    <w:p w:rsidR="00000000" w:rsidRPr="007A76F2" w:rsidP="00AB55F0">
      <w:pPr>
        <w:pStyle w:val="BodyText"/>
      </w:pPr>
      <w:r w:rsidRPr="007A76F2">
        <w:t>This unit of competency is applicable to laboratory technical officers working in all industry sectors. All operations and analytical methods must comply with r</w:t>
      </w:r>
      <w:r w:rsidRPr="007A76F2">
        <w:t>elevant standards, appropriate procedures and/or workplace requirements. Although a supervisor may not always be present, the technician will follow standard operating procedures (SOPs) that clearly describe the scope of permitted practice including varyin</w:t>
      </w:r>
      <w:r w:rsidRPr="007A76F2">
        <w:t>g workplace/test procedures and communicating results to people outside the laboratory.</w:t>
      </w:r>
    </w:p>
    <w:p w:rsidR="00000000" w:rsidRPr="007A76F2" w:rsidP="00AB55F0">
      <w:pPr>
        <w:pStyle w:val="BodyText"/>
      </w:pPr>
      <w:r w:rsidRPr="007A76F2">
        <w:t>While no specific licensing or certification requirements apply to this unit at the time of publication, laboratory operations are governed by relevant legislation, re</w:t>
      </w:r>
      <w:r w:rsidRPr="007A76F2">
        <w:t>gulations and/or external accreditation requirements. Local requirements should be checked.</w:t>
      </w:r>
    </w:p>
    <w:p w:rsidR="00000000" w:rsidRPr="007A76F2" w:rsidP="007A76F2">
      <w:pPr>
        <w:pStyle w:val="Heading1"/>
      </w:pPr>
      <w:bookmarkStart w:id="3" w:name="O_901677"/>
      <w:bookmarkEnd w:id="3"/>
      <w:r w:rsidRPr="007A76F2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4"/>
        <w:gridCol w:w="6892"/>
      </w:tblGrid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Perform biological procedures</w:t>
            </w: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Perform chemical tests and procedures</w:t>
            </w:r>
          </w:p>
        </w:tc>
      </w:tr>
    </w:tbl>
    <w:p w:rsidR="00000000" w:rsidRPr="007A76F2" w:rsidP="007A76F2">
      <w:pPr>
        <w:pStyle w:val="BodyText"/>
      </w:pPr>
    </w:p>
    <w:p w:rsidR="00000000" w:rsidRPr="007A76F2" w:rsidP="007A76F2">
      <w:pPr>
        <w:pStyle w:val="AllowPageBreak"/>
      </w:pPr>
    </w:p>
    <w:p w:rsidR="00000000" w:rsidRPr="007A76F2" w:rsidP="007A76F2">
      <w:pPr>
        <w:pStyle w:val="Heading1"/>
      </w:pPr>
      <w:bookmarkStart w:id="4" w:name="O_901676"/>
      <w:bookmarkEnd w:id="4"/>
      <w:r w:rsidRPr="007A76F2">
        <w:t>Competency Field</w:t>
      </w:r>
    </w:p>
    <w:p w:rsidR="00000000" w:rsidRPr="007A76F2" w:rsidP="00AB55F0">
      <w:pPr>
        <w:pStyle w:val="BodyText"/>
      </w:pPr>
      <w:r w:rsidRPr="007A76F2">
        <w:t>Testing</w:t>
      </w:r>
    </w:p>
    <w:p w:rsidR="00000000" w:rsidRPr="007A76F2" w:rsidP="007A76F2">
      <w:pPr>
        <w:pStyle w:val="Heading1"/>
      </w:pPr>
      <w:bookmarkStart w:id="5" w:name="O_901675"/>
      <w:bookmarkEnd w:id="5"/>
      <w:r w:rsidRPr="007A76F2">
        <w:t>Unit Sector</w:t>
      </w:r>
    </w:p>
    <w:p w:rsidR="00000000" w:rsidRPr="007A76F2" w:rsidP="007A76F2">
      <w:pPr>
        <w:pStyle w:val="Heading1"/>
      </w:pPr>
      <w:bookmarkStart w:id="6" w:name="O_901674"/>
      <w:bookmarkEnd w:id="6"/>
      <w:r w:rsidRPr="007A76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Performance criteria describe the performance needed to demonstrate achievement of the element.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Establish</w:t>
            </w:r>
            <w:r w:rsidRPr="007A76F2">
              <w:rPr>
                <w:rStyle w:val="SpecialBold"/>
              </w:rPr>
              <w:t xml:space="preserve">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Liaise with client or sample provider to determine client needs and sample history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Record sample description, compare with specification and record and report any discrepancies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Identify non-routine samples and the possible need to vary workplace procedures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Seek advice from supervisor about any proposed variations and document all approved changes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Schedule analysis using workplace procedures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Obtain a representative analytical portion of the laboratory sample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Prepare sample in accordance with testing requirements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Prepare validation checks for analytical portion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Perform pre-use and safety checks in accordance with workplace procedures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Start up and condition the instrument using workplace procedures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Optimise instrumental parameters to suit sample and test requirements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Check calibration status of instrument and perform calibration using specified standards and procedures, as required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Measure analyte response for standards, validation checks and samples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Conduct sufficient measurements to obtain reliable data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Return instruments to standby or shutdown condition, as required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Confirm data is the result of valid measurements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Perform required calculations and ensure results are consistent with standards or estimations and expectations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Record results with the appropriate accuracy, precision and units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Analyse trends in data and/or results and report out-of-specification or atypical results promptly to appropriate personnel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Troubleshoot analytical procedure or equipment problems which have led to atypical data or results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Identify risks, hazards, safety equipment and control measures associated with sample handling, preparation and analytical method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Use personal protective equipment (PPE) and safety procedures specified for test m</w:t>
            </w:r>
            <w:r w:rsidRPr="007A76F2">
              <w:t>ethod and materials to be tested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Minimise the generation of waste and environmental impacts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Ensure the safe disposal of laboratory waste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Clean, care for and store equipment and consumables in accordance with workplace procedures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Enter approved data and results into laboratory information management system (LIMS)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Maintain equipment logs in accordance with workplace procedures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Maintain security and confidentiality of laboratory data and workplace information</w:t>
            </w:r>
          </w:p>
        </w:tc>
      </w:tr>
      <w:tr w:rsidTr="007A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Communicate results to appropriate personnel</w:t>
            </w:r>
          </w:p>
        </w:tc>
      </w:tr>
    </w:tbl>
    <w:p w:rsidR="00000000" w:rsidRPr="007A76F2" w:rsidP="007A76F2">
      <w:pPr>
        <w:pStyle w:val="BodyText"/>
      </w:pPr>
    </w:p>
    <w:p w:rsidR="00000000" w:rsidRPr="007A76F2" w:rsidP="007A76F2">
      <w:pPr>
        <w:pStyle w:val="AllowPageBreak"/>
      </w:pPr>
    </w:p>
    <w:p w:rsidR="00000000" w:rsidRPr="007A76F2" w:rsidP="007A76F2">
      <w:pPr>
        <w:pStyle w:val="Heading1"/>
      </w:pPr>
      <w:bookmarkStart w:id="7" w:name="O_901673"/>
      <w:bookmarkEnd w:id="7"/>
      <w:r w:rsidRPr="007A76F2">
        <w:t>Foundation Skills</w:t>
      </w:r>
    </w:p>
    <w:p w:rsidR="00000000" w:rsidRPr="007A76F2" w:rsidP="00AB55F0">
      <w:pPr>
        <w:pStyle w:val="BodyText"/>
      </w:pPr>
      <w:r w:rsidRPr="007A76F2">
        <w:t>This section describes those language, literacy, numeracy and employment skills that</w:t>
      </w:r>
      <w:r w:rsidRPr="007A76F2">
        <w:t xml:space="preserve"> are essential to performance.</w:t>
      </w:r>
    </w:p>
    <w:p w:rsidR="00000000" w:rsidRPr="007A76F2" w:rsidP="00AB55F0">
      <w:pPr>
        <w:pStyle w:val="BodyText"/>
      </w:pPr>
      <w:r w:rsidRPr="007A76F2">
        <w:t>Foundation skills essential to performance are explicit in the performance criteria of this unit of competency.</w:t>
      </w:r>
    </w:p>
    <w:p w:rsidR="00000000" w:rsidRPr="007A76F2" w:rsidP="007A76F2">
      <w:pPr>
        <w:pStyle w:val="Heading1"/>
      </w:pPr>
      <w:bookmarkStart w:id="8" w:name="O_901672"/>
      <w:bookmarkEnd w:id="8"/>
      <w:r w:rsidRPr="007A76F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4"/>
        <w:gridCol w:w="6892"/>
      </w:tblGrid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t>This field allows for different work environments and conditions that may a</w:t>
            </w:r>
            <w:r w:rsidRPr="007A76F2">
              <w:t>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Standards, codes, procedures and/or workplace requirements include the latest version of one or more of:</w:t>
            </w:r>
          </w:p>
          <w:p w:rsidR="00000000" w:rsidRPr="007A76F2" w:rsidP="007A76F2">
            <w:pPr>
              <w:pStyle w:val="ListBullet"/>
            </w:pPr>
            <w:r w:rsidRPr="007A76F2">
              <w:t>Australian and international standards covering the requirements for the competence of tes</w:t>
            </w:r>
            <w:r w:rsidRPr="007A76F2">
              <w:t>ting and calibration laboratories, laboratory design and construction, physical containment levels and facility types, laboratory safety; and quality and environmental management</w:t>
            </w:r>
          </w:p>
          <w:p w:rsidR="00000000" w:rsidRPr="007A76F2" w:rsidP="007A76F2">
            <w:pPr>
              <w:pStyle w:val="ListBullet"/>
            </w:pPr>
            <w:r w:rsidRPr="007A76F2">
              <w:t>national work health and safety (WHS) standards and codes of practice, and na</w:t>
            </w:r>
            <w:r w:rsidRPr="007A76F2">
              <w:t>tional measurement regulations and guidelines</w:t>
            </w:r>
          </w:p>
          <w:p w:rsidR="00000000" w:rsidRPr="007A76F2" w:rsidP="007A76F2">
            <w:pPr>
              <w:pStyle w:val="ListBullet"/>
            </w:pPr>
            <w:r w:rsidRPr="007A76F2">
              <w:t>Australian and international standards and guidelines covering chemical analysis by chromatography, accuracy of measurement methods and results, expression of uncertainty and quantifying uncertainty</w:t>
            </w:r>
          </w:p>
          <w:p w:rsidR="00000000" w:rsidRPr="007A76F2" w:rsidP="007A76F2">
            <w:pPr>
              <w:pStyle w:val="ListBullet"/>
            </w:pPr>
            <w:r w:rsidRPr="007A76F2">
              <w:t>specific co</w:t>
            </w:r>
            <w:r w:rsidRPr="007A76F2">
              <w:t>des, guidelines, procedures and methods, such as the Australian code of good manufacturing practice for medicinal products (GMP), and principles of good laboratory practice (GLP)</w:t>
            </w:r>
          </w:p>
          <w:p w:rsidR="00000000" w:rsidRPr="007A76F2" w:rsidP="007A76F2">
            <w:pPr>
              <w:pStyle w:val="ListBullet"/>
            </w:pPr>
            <w:r w:rsidRPr="007A76F2">
              <w:t>workplace documents, such as SOPs; quality and equipment manuals; calibration</w:t>
            </w:r>
            <w:r w:rsidRPr="007A76F2">
              <w:t xml:space="preserve"> and maintenance schedules; material safety data sheets (MSDS) and safety procedures; material, production and product specifications; production and laboratory schedules; workplace recording and reporting procedures; waste minimisation and safe disposal p</w:t>
            </w:r>
            <w:r w:rsidRPr="007A76F2">
              <w:t>rocedures; cleaning, hygiene and personal hygiene requirements; stock records and inventory</w:t>
            </w:r>
          </w:p>
          <w:p w:rsidR="00000000" w:rsidRPr="007A76F2" w:rsidP="007A76F2">
            <w:pPr>
              <w:pStyle w:val="ListBullet"/>
            </w:pPr>
            <w:r w:rsidRPr="007A76F2">
              <w:t>sampling procedures (labelling, preparation, storage, transport and disposal)</w:t>
            </w:r>
          </w:p>
          <w:p w:rsidR="00000000" w:rsidRPr="007A76F2" w:rsidP="007A76F2">
            <w:pPr>
              <w:pStyle w:val="ListBullet"/>
            </w:pPr>
            <w:r w:rsidRPr="007A76F2">
              <w:t>test procedures (validated and authorised)</w:t>
            </w:r>
          </w:p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 xml:space="preserve">Routine chromatographic techniques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Routine chromatographic techniques include one or more of the following analytical and preparative procedures:</w:t>
            </w:r>
          </w:p>
          <w:p w:rsidR="00000000" w:rsidRPr="007A76F2" w:rsidP="007A76F2">
            <w:pPr>
              <w:pStyle w:val="ListBullet"/>
            </w:pPr>
            <w:r w:rsidRPr="007A76F2">
              <w:t>standard sample introduction systems</w:t>
            </w:r>
          </w:p>
          <w:p w:rsidR="00000000" w:rsidRPr="007A76F2" w:rsidP="007A76F2">
            <w:pPr>
              <w:pStyle w:val="ListBullet"/>
            </w:pPr>
            <w:r w:rsidRPr="007A76F2">
              <w:t>paper, such as ascending and descending</w:t>
            </w:r>
          </w:p>
          <w:p w:rsidR="00000000" w:rsidRPr="007A76F2" w:rsidP="007A76F2">
            <w:pPr>
              <w:pStyle w:val="ListBullet"/>
            </w:pPr>
            <w:r w:rsidRPr="007A76F2">
              <w:t>thin-layer such as ascending, high performance, radical and descend</w:t>
            </w:r>
            <w:r w:rsidRPr="007A76F2">
              <w:t>ing</w:t>
            </w:r>
          </w:p>
          <w:p w:rsidR="00000000" w:rsidRPr="007A76F2" w:rsidP="007A76F2">
            <w:pPr>
              <w:pStyle w:val="ListBullet"/>
            </w:pPr>
            <w:r w:rsidRPr="007A76F2">
              <w:t>column chromatography</w:t>
            </w:r>
          </w:p>
          <w:p w:rsidR="00000000" w:rsidRPr="007A76F2" w:rsidP="007A76F2">
            <w:pPr>
              <w:pStyle w:val="ListBullet"/>
            </w:pPr>
            <w:r w:rsidRPr="007A76F2">
              <w:t>affinity chromatography and gel filtration chromatography</w:t>
            </w:r>
          </w:p>
          <w:p w:rsidR="00000000" w:rsidRPr="007A76F2" w:rsidP="007A76F2">
            <w:pPr>
              <w:pStyle w:val="ListBullet"/>
            </w:pPr>
            <w:r w:rsidRPr="007A76F2">
              <w:t>gas liquid and gas solid chromatography</w:t>
            </w:r>
          </w:p>
          <w:p w:rsidR="00000000" w:rsidRPr="007A76F2" w:rsidP="007A76F2">
            <w:pPr>
              <w:pStyle w:val="ListBullet"/>
            </w:pPr>
            <w:r w:rsidRPr="007A76F2">
              <w:t>high performance liquid chromatography, such as liquid-liquid (LLC), liquid-solid (LSC), ion (IC) and size exclusion (SEC)</w:t>
            </w:r>
          </w:p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Tests include, but are not limited to, methods for one or more of:</w:t>
            </w:r>
          </w:p>
          <w:p w:rsidR="00000000" w:rsidRPr="007A76F2" w:rsidP="007A76F2">
            <w:pPr>
              <w:pStyle w:val="ListBullet"/>
            </w:pPr>
            <w:r w:rsidRPr="007A76F2">
              <w:t>control of starting materials, in-process materials and finished products (e.g. manufacturing, petroleum and biotechnology)</w:t>
            </w:r>
          </w:p>
          <w:p w:rsidR="00000000" w:rsidRPr="007A76F2" w:rsidP="007A76F2">
            <w:pPr>
              <w:pStyle w:val="ListBullet"/>
            </w:pPr>
            <w:r w:rsidRPr="007A76F2">
              <w:t>selection of appropriate separation technique, such as suitable substrate and support solvent, buffer, temperature, flow rate, column length and detection method</w:t>
            </w:r>
          </w:p>
          <w:p w:rsidR="00000000" w:rsidRPr="007A76F2" w:rsidP="007A76F2">
            <w:pPr>
              <w:pStyle w:val="ListBullet"/>
            </w:pPr>
            <w:r w:rsidRPr="007A76F2">
              <w:t>forensic testing</w:t>
            </w:r>
          </w:p>
          <w:p w:rsidR="00000000" w:rsidRPr="007A76F2" w:rsidP="007A76F2">
            <w:pPr>
              <w:pStyle w:val="ListBullet"/>
            </w:pPr>
            <w:r w:rsidRPr="007A76F2">
              <w:t>environmental monitoring of pollutants in air, water and soil</w:t>
            </w:r>
          </w:p>
          <w:p w:rsidR="00000000" w:rsidRPr="007A76F2" w:rsidP="007A76F2">
            <w:pPr>
              <w:pStyle w:val="ListBullet"/>
            </w:pPr>
            <w:r w:rsidRPr="007A76F2">
              <w:t>troubleshooting</w:t>
            </w:r>
            <w:r w:rsidRPr="007A76F2">
              <w:t xml:space="preserve"> workplace processes</w:t>
            </w:r>
          </w:p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 xml:space="preserve">Sample preparation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Sample preparation includes one or more of:</w:t>
            </w:r>
          </w:p>
          <w:p w:rsidR="00000000" w:rsidRPr="007A76F2" w:rsidP="007A76F2">
            <w:pPr>
              <w:pStyle w:val="ListBullet"/>
            </w:pPr>
            <w:r w:rsidRPr="007A76F2">
              <w:t>identification of any hazards associated with samples and/or analytical chemicals</w:t>
            </w:r>
          </w:p>
          <w:p w:rsidR="00000000" w:rsidRPr="007A76F2" w:rsidP="007A76F2">
            <w:pPr>
              <w:pStyle w:val="ListBullet"/>
            </w:pPr>
            <w:r w:rsidRPr="007A76F2">
              <w:t>use of processes, such as grinding, dissolving, extraction, filtration, refluxing, cen</w:t>
            </w:r>
            <w:r w:rsidRPr="007A76F2">
              <w:t>trifuging, evaporation, washing and drying</w:t>
            </w:r>
          </w:p>
          <w:p w:rsidR="00000000" w:rsidRPr="007A76F2" w:rsidP="007A76F2">
            <w:pPr>
              <w:pStyle w:val="ListBullet"/>
            </w:pPr>
            <w:r w:rsidRPr="007A76F2">
              <w:t>determination of and, if appropriate, removal of any contaminants, impurities or interfering substances</w:t>
            </w:r>
          </w:p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Safe work practices include, but are not limited to, one or more of:</w:t>
            </w:r>
          </w:p>
          <w:p w:rsidR="00000000" w:rsidRPr="007A76F2" w:rsidP="007A76F2">
            <w:pPr>
              <w:pStyle w:val="ListBullet"/>
            </w:pPr>
            <w:r w:rsidRPr="007A76F2">
              <w:t>ensuring access to service shut-off points</w:t>
            </w:r>
          </w:p>
          <w:p w:rsidR="00000000" w:rsidRPr="007A76F2" w:rsidP="007A76F2">
            <w:pPr>
              <w:pStyle w:val="ListBullet"/>
            </w:pPr>
            <w:r w:rsidRPr="007A76F2">
              <w:t>recognising and observing hazard warnings and safety signs</w:t>
            </w:r>
          </w:p>
          <w:p w:rsidR="00000000" w:rsidRPr="007A76F2" w:rsidP="007A76F2">
            <w:pPr>
              <w:pStyle w:val="ListBullet"/>
            </w:pPr>
            <w:r w:rsidRPr="007A76F2">
              <w:t>labelling of samples, reagents, aliquoted samples and hazardous materials</w:t>
            </w:r>
          </w:p>
          <w:p w:rsidR="00000000" w:rsidRPr="007A76F2" w:rsidP="007A76F2">
            <w:pPr>
              <w:pStyle w:val="ListBullet"/>
            </w:pPr>
            <w:r w:rsidRPr="007A76F2">
              <w:t>handling and storage of hazardous materials and equipment in accordance with lab</w:t>
            </w:r>
            <w:r w:rsidRPr="007A76F2">
              <w:t>elling, MSDS and manufacturer instructions</w:t>
            </w:r>
          </w:p>
          <w:p w:rsidR="00000000" w:rsidRPr="007A76F2" w:rsidP="007A76F2">
            <w:pPr>
              <w:pStyle w:val="ListBullet"/>
            </w:pPr>
            <w:r w:rsidRPr="007A76F2">
              <w:t>identifying and reporting operating problems or equipment malfunctions</w:t>
            </w:r>
          </w:p>
          <w:p w:rsidR="00000000" w:rsidRPr="007A76F2" w:rsidP="007A76F2">
            <w:pPr>
              <w:pStyle w:val="ListBullet"/>
            </w:pPr>
            <w:r w:rsidRPr="007A76F2">
              <w:t>cleaning and decontaminating equipment and work areas regularly using workplace procedures</w:t>
            </w:r>
          </w:p>
          <w:p w:rsidR="00000000" w:rsidRPr="007A76F2" w:rsidP="007A76F2">
            <w:pPr>
              <w:pStyle w:val="ListBullet"/>
            </w:pPr>
            <w:r w:rsidRPr="007A76F2">
              <w:t>using PPE, such as gloves, safety glasses, coverall</w:t>
            </w:r>
            <w:r w:rsidRPr="007A76F2">
              <w:t>s and gowns</w:t>
            </w:r>
          </w:p>
          <w:p w:rsidR="00000000" w:rsidRPr="007A76F2" w:rsidP="007A76F2">
            <w:pPr>
              <w:pStyle w:val="ListBullet"/>
            </w:pPr>
            <w:r w:rsidRPr="007A76F2">
              <w:t>reporting abnormal emissions, discharges and airborne contaminants, such as noise, light, solids, liquids, water/waste water, gases, smoke, vapour, fumes, odour and particulates, to appropriate personnel</w:t>
            </w:r>
          </w:p>
          <w:p w:rsidR="00000000" w:rsidP="007A76F2">
            <w:pPr>
              <w:pStyle w:val="BodyText"/>
              <w:rPr>
                <w:lang w:val="en-NZ"/>
              </w:rPr>
            </w:pPr>
          </w:p>
        </w:tc>
      </w:tr>
      <w:tr w:rsidTr="00AB5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6F2">
            <w:pPr>
              <w:pStyle w:val="BodyText"/>
              <w:rPr>
                <w:lang w:val="en-NZ"/>
              </w:rPr>
            </w:pPr>
            <w:r w:rsidRPr="007A76F2">
              <w:rPr>
                <w:rStyle w:val="SpecialBold"/>
              </w:rPr>
              <w:t>WHS and environmental management requi</w:t>
            </w:r>
            <w:r w:rsidRPr="007A76F2">
              <w:rPr>
                <w:rStyle w:val="SpecialBold"/>
              </w:rPr>
              <w:t xml:space="preserve">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6F2" w:rsidP="007A76F2">
            <w:pPr>
              <w:pStyle w:val="BodyText"/>
            </w:pPr>
            <w:r w:rsidRPr="007A76F2">
              <w:t>WHS and environmental management requirements:</w:t>
            </w:r>
          </w:p>
          <w:p w:rsidR="00000000" w:rsidRPr="007A76F2" w:rsidP="007A76F2">
            <w:pPr>
              <w:pStyle w:val="BodyText"/>
            </w:pPr>
            <w:r w:rsidRPr="007A76F2">
              <w:rPr>
                <w:rStyle w:val="Symbols"/>
              </w:rPr>
              <w:t></w:t>
            </w:r>
            <w:r w:rsidRPr="007A76F2">
              <w:rPr>
                <w:rStyle w:val="Symbols"/>
              </w:rPr>
              <w:tab/>
            </w:r>
            <w:r w:rsidRPr="007A76F2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7A76F2" w:rsidP="007A76F2">
            <w:pPr>
              <w:pStyle w:val="BodyText"/>
            </w:pPr>
            <w:r w:rsidRPr="007A76F2">
              <w:rPr>
                <w:rStyle w:val="Symbols"/>
              </w:rPr>
              <w:t></w:t>
            </w:r>
            <w:r w:rsidRPr="007A76F2">
              <w:rPr>
                <w:rStyle w:val="Symbols"/>
              </w:rPr>
              <w:tab/>
            </w:r>
            <w:r w:rsidRPr="007A76F2">
              <w:t>applying standard precautions relating to the potentially hazardous nature of samples</w:t>
            </w:r>
          </w:p>
          <w:p w:rsidR="00000000" w:rsidRPr="007A76F2" w:rsidP="007A76F2">
            <w:pPr>
              <w:pStyle w:val="ListBullet"/>
            </w:pPr>
            <w:r w:rsidRPr="007A76F2">
              <w:t xml:space="preserve">accessing and applying current industry understanding of infection control issued by the National </w:t>
            </w:r>
            <w:r w:rsidRPr="007A76F2">
              <w:t>Health and Medical Research Council (NHMRC) and State and Territory Departments of Health, where relevant</w:t>
            </w:r>
          </w:p>
        </w:tc>
      </w:tr>
    </w:tbl>
    <w:p w:rsidR="00000000" w:rsidRPr="007A76F2" w:rsidP="007A76F2">
      <w:pPr>
        <w:pStyle w:val="BodyText"/>
      </w:pPr>
    </w:p>
    <w:p w:rsidR="00000000" w:rsidRPr="007A76F2" w:rsidP="007A76F2">
      <w:pPr>
        <w:pStyle w:val="AllowPageBreak"/>
      </w:pPr>
    </w:p>
    <w:p w:rsidR="00000000" w:rsidRPr="007A76F2" w:rsidP="007A76F2">
      <w:pPr>
        <w:pStyle w:val="Heading1"/>
      </w:pPr>
      <w:bookmarkStart w:id="9" w:name="O_901671"/>
      <w:bookmarkEnd w:id="9"/>
      <w:r w:rsidRPr="007A76F2">
        <w:t>Unit Mapping Information</w:t>
      </w:r>
    </w:p>
    <w:p w:rsidR="00000000" w:rsidRPr="007A76F2" w:rsidP="00AB55F0">
      <w:pPr>
        <w:pStyle w:val="BodyText"/>
      </w:pPr>
      <w:r w:rsidRPr="007A76F2">
        <w:t>Release 1. Supersedes and is equivalent to MSL975009A Apply routine chromatographic techniques</w:t>
      </w:r>
    </w:p>
    <w:p w:rsidR="00000000" w:rsidRPr="007A76F2" w:rsidP="007A76F2">
      <w:pPr>
        <w:pStyle w:val="Heading1"/>
      </w:pPr>
      <w:bookmarkStart w:id="10" w:name="O_901664"/>
      <w:bookmarkEnd w:id="10"/>
      <w:r w:rsidRPr="007A76F2">
        <w:t>Links</w:t>
      </w:r>
    </w:p>
    <w:p w:rsidR="00000000" w:rsidRPr="007A76F2" w:rsidP="00AB55F0">
      <w:pPr>
        <w:pStyle w:val="BodyText"/>
      </w:pPr>
      <w:r w:rsidRPr="007A76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75D2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A76F2" w:rsidP="00AB55F0">
      <w:pPr>
        <w:pStyle w:val="BodyText"/>
        <w:sectPr w:rsidSect="007A76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76F2" w:rsidP="007A76F2">
      <w:pPr>
        <w:pStyle w:val="SuperHeading"/>
      </w:pPr>
      <w:r w:rsidRPr="007A76F2">
        <w:t xml:space="preserve">Assessment </w:t>
      </w:r>
      <w:r w:rsidRPr="007A76F2">
        <w:t>Requirements for MSL975009 Apply routine chromatographic techniques</w:t>
      </w:r>
    </w:p>
    <w:p w:rsidR="00000000" w:rsidRPr="007A76F2" w:rsidP="007A76F2">
      <w:pPr>
        <w:pStyle w:val="Heading1"/>
      </w:pPr>
      <w:bookmarkStart w:id="11" w:name="O_901666"/>
      <w:bookmarkEnd w:id="11"/>
      <w:r w:rsidRPr="007A76F2">
        <w:t>Modification History</w:t>
      </w:r>
    </w:p>
    <w:p w:rsidR="00000000" w:rsidRPr="007A76F2" w:rsidP="00AB55F0">
      <w:pPr>
        <w:pStyle w:val="BodyText"/>
      </w:pPr>
      <w:r w:rsidRPr="007A76F2">
        <w:t>Release 1. Supersedes and is equivalent to MSL975009A Apply routine chromatographic techniques</w:t>
      </w:r>
    </w:p>
    <w:p w:rsidR="00000000" w:rsidRPr="007A76F2" w:rsidP="007A76F2">
      <w:pPr>
        <w:pStyle w:val="Heading1"/>
      </w:pPr>
      <w:bookmarkStart w:id="12" w:name="O_901669"/>
      <w:bookmarkEnd w:id="12"/>
      <w:r w:rsidRPr="007A76F2">
        <w:t>Performance Evidence</w:t>
      </w:r>
    </w:p>
    <w:p w:rsidR="00000000" w:rsidRPr="007A76F2" w:rsidP="00AB55F0">
      <w:pPr>
        <w:pStyle w:val="BodyText"/>
      </w:pPr>
      <w:r w:rsidRPr="007A76F2">
        <w:t>Evidence of compet</w:t>
      </w:r>
      <w:r w:rsidRPr="007A76F2">
        <w:t>ence in this unit must satisfy all of the requirements of the elements and performance criteria, and include demonstration of:</w:t>
      </w:r>
    </w:p>
    <w:p w:rsidR="00000000" w:rsidRPr="007A76F2" w:rsidP="007A76F2">
      <w:pPr>
        <w:pStyle w:val="ListBullet"/>
      </w:pPr>
      <w:r w:rsidRPr="007A76F2">
        <w:t>applying routine chromatographic techniques on at least three (3) occasions to obtain valid and reliable data</w:t>
      </w:r>
    </w:p>
    <w:p w:rsidR="00000000" w:rsidRPr="007A76F2" w:rsidP="007A76F2">
      <w:pPr>
        <w:pStyle w:val="ListBullet"/>
      </w:pPr>
      <w:r w:rsidRPr="007A76F2">
        <w:t>establishing clien</w:t>
      </w:r>
      <w:r w:rsidRPr="007A76F2">
        <w:t>t needs for routine and non-routine samples</w:t>
      </w:r>
    </w:p>
    <w:p w:rsidR="00000000" w:rsidRPr="007A76F2" w:rsidP="007A76F2">
      <w:pPr>
        <w:pStyle w:val="ListBullet"/>
      </w:pPr>
      <w:r w:rsidRPr="007A76F2">
        <w:t xml:space="preserve">accurately interpreting client requests, test methods and procedures </w:t>
      </w:r>
    </w:p>
    <w:p w:rsidR="00000000" w:rsidRPr="007A76F2" w:rsidP="007A76F2">
      <w:pPr>
        <w:pStyle w:val="ListBullet"/>
      </w:pPr>
      <w:r w:rsidRPr="007A76F2">
        <w:t>preparing samples using at least three (3) different processes</w:t>
      </w:r>
    </w:p>
    <w:p w:rsidR="00000000" w:rsidRPr="007A76F2" w:rsidP="007A76F2">
      <w:pPr>
        <w:pStyle w:val="ListBullet"/>
      </w:pPr>
      <w:r w:rsidRPr="007A76F2">
        <w:t>preparing standards</w:t>
      </w:r>
    </w:p>
    <w:p w:rsidR="00000000" w:rsidRPr="007A76F2" w:rsidP="007A76F2">
      <w:pPr>
        <w:pStyle w:val="ListBullet"/>
      </w:pPr>
      <w:r w:rsidRPr="007A76F2">
        <w:t>safely setting up, operating and shutting down equipment</w:t>
      </w:r>
    </w:p>
    <w:p w:rsidR="00000000" w:rsidRPr="007A76F2" w:rsidP="007A76F2">
      <w:pPr>
        <w:pStyle w:val="ListBullet"/>
      </w:pPr>
      <w:r w:rsidRPr="007A76F2">
        <w:t>ch</w:t>
      </w:r>
      <w:r w:rsidRPr="007A76F2">
        <w:t>ecking calibration and qualification status of equipment</w:t>
      </w:r>
    </w:p>
    <w:p w:rsidR="00000000" w:rsidRPr="007A76F2" w:rsidP="007A76F2">
      <w:pPr>
        <w:pStyle w:val="ListBullet"/>
      </w:pPr>
      <w:r w:rsidRPr="007A76F2">
        <w:t>installing and maintaining a variety of chromatographic columns</w:t>
      </w:r>
    </w:p>
    <w:p w:rsidR="00000000" w:rsidRPr="007A76F2" w:rsidP="007A76F2">
      <w:pPr>
        <w:pStyle w:val="ListBullet"/>
      </w:pPr>
      <w:r w:rsidRPr="007A76F2">
        <w:t>choosing and optimising procedures and equipment settings to suit sample/test requirements</w:t>
      </w:r>
    </w:p>
    <w:p w:rsidR="00000000" w:rsidRPr="007A76F2" w:rsidP="007A76F2">
      <w:pPr>
        <w:pStyle w:val="ListBullet"/>
      </w:pPr>
      <w:r w:rsidRPr="007A76F2">
        <w:t>making approved adjustments to procedures fo</w:t>
      </w:r>
      <w:r w:rsidRPr="007A76F2">
        <w:t>r non-routine samples</w:t>
      </w:r>
    </w:p>
    <w:p w:rsidR="00000000" w:rsidRPr="007A76F2" w:rsidP="007A76F2">
      <w:pPr>
        <w:pStyle w:val="ListBullet"/>
      </w:pPr>
      <w:r w:rsidRPr="007A76F2">
        <w:t>interpreting data, recognising atypical test data and results and making relevant conclusions</w:t>
      </w:r>
    </w:p>
    <w:p w:rsidR="00000000" w:rsidRPr="007A76F2" w:rsidP="007A76F2">
      <w:pPr>
        <w:pStyle w:val="ListBullet"/>
      </w:pPr>
      <w:r w:rsidRPr="007A76F2">
        <w:t>troubleshooting common analytical procedure and equipment problems</w:t>
      </w:r>
    </w:p>
    <w:p w:rsidR="00000000" w:rsidRPr="007A76F2" w:rsidP="007A76F2">
      <w:pPr>
        <w:pStyle w:val="ListBullet"/>
      </w:pPr>
      <w:r w:rsidRPr="007A76F2">
        <w:t>preparing and using calibration charts and standards</w:t>
      </w:r>
    </w:p>
    <w:p w:rsidR="00000000" w:rsidRPr="007A76F2" w:rsidP="007A76F2">
      <w:pPr>
        <w:pStyle w:val="ListBullet"/>
      </w:pPr>
      <w:r w:rsidRPr="007A76F2">
        <w:t>identifying and calculating potential sources of uncertainty</w:t>
      </w:r>
    </w:p>
    <w:p w:rsidR="00000000" w:rsidRPr="007A76F2" w:rsidP="007A76F2">
      <w:pPr>
        <w:pStyle w:val="ListBullet"/>
      </w:pPr>
      <w:r w:rsidRPr="007A76F2">
        <w:t>calculating results using appropriate equations, units, uncertainties and precision</w:t>
      </w:r>
    </w:p>
    <w:p w:rsidR="00000000" w:rsidRPr="007A76F2" w:rsidP="007A76F2">
      <w:pPr>
        <w:pStyle w:val="ListBullet"/>
      </w:pPr>
      <w:r w:rsidRPr="007A76F2">
        <w:t>recording and reporting data and results in accordance with workplace procedures</w:t>
      </w:r>
    </w:p>
    <w:p w:rsidR="00000000" w:rsidRPr="007A76F2" w:rsidP="007A76F2">
      <w:pPr>
        <w:pStyle w:val="ListBullet"/>
      </w:pPr>
      <w:r w:rsidRPr="007A76F2">
        <w:t>maintaining security, integrit</w:t>
      </w:r>
      <w:r w:rsidRPr="007A76F2">
        <w:t>y and traceability of samples and documentation</w:t>
      </w:r>
    </w:p>
    <w:p w:rsidR="00000000" w:rsidRPr="007A76F2" w:rsidP="007A76F2">
      <w:pPr>
        <w:pStyle w:val="ListBullet"/>
      </w:pPr>
      <w:r w:rsidRPr="007A76F2">
        <w:t>following workplace safety procedures.</w:t>
      </w:r>
    </w:p>
    <w:p w:rsidR="00000000" w:rsidRPr="007A76F2" w:rsidP="007A76F2">
      <w:pPr>
        <w:pStyle w:val="AllowPageBreak"/>
      </w:pPr>
    </w:p>
    <w:p w:rsidR="00000000" w:rsidRPr="007A76F2" w:rsidP="007A76F2">
      <w:pPr>
        <w:pStyle w:val="Heading1"/>
      </w:pPr>
      <w:bookmarkStart w:id="13" w:name="O_901668"/>
      <w:bookmarkEnd w:id="13"/>
      <w:r w:rsidRPr="007A76F2">
        <w:t>Knowledge Evidence</w:t>
      </w:r>
    </w:p>
    <w:p w:rsidR="00000000" w:rsidRPr="007A76F2" w:rsidP="00AB55F0">
      <w:pPr>
        <w:pStyle w:val="BodyText"/>
      </w:pPr>
      <w:r w:rsidRPr="007A76F2">
        <w:t>Must provide evidence that demonstrates knowledge of:</w:t>
      </w:r>
    </w:p>
    <w:p w:rsidR="00000000" w:rsidRPr="007A76F2" w:rsidP="007A76F2">
      <w:pPr>
        <w:pStyle w:val="ListBullet"/>
      </w:pPr>
      <w:r w:rsidRPr="007A76F2">
        <w:t xml:space="preserve">chromatographic principles and concepts related to instrumentation operation, </w:t>
      </w:r>
      <w:r w:rsidRPr="007A76F2">
        <w:t>material preparation and testing</w:t>
      </w:r>
    </w:p>
    <w:p w:rsidR="00000000" w:rsidRPr="007A76F2" w:rsidP="007A76F2">
      <w:pPr>
        <w:pStyle w:val="ListBullet"/>
      </w:pPr>
      <w:r w:rsidRPr="007A76F2">
        <w:t>use of different chromatographic methods for qualitative and quantitative analysis and preparation of specific samples relevant to job role</w:t>
      </w:r>
    </w:p>
    <w:p w:rsidR="00000000" w:rsidRPr="007A76F2" w:rsidP="007A76F2">
      <w:pPr>
        <w:pStyle w:val="ListBullet"/>
      </w:pPr>
      <w:r w:rsidRPr="007A76F2">
        <w:t>handling of unstable or hazardous chemicals and samples, and the fragile/labile nat</w:t>
      </w:r>
      <w:r w:rsidRPr="007A76F2">
        <w:t>ure of biological material</w:t>
      </w:r>
    </w:p>
    <w:p w:rsidR="00000000" w:rsidRPr="007A76F2" w:rsidP="007A76F2">
      <w:pPr>
        <w:pStyle w:val="ListBullet"/>
      </w:pPr>
      <w:r w:rsidRPr="007A76F2">
        <w:t>sample preparation procedures</w:t>
      </w:r>
    </w:p>
    <w:p w:rsidR="00000000" w:rsidRPr="007A76F2" w:rsidP="007A76F2">
      <w:pPr>
        <w:pStyle w:val="ListBullet"/>
      </w:pPr>
      <w:r w:rsidRPr="007A76F2">
        <w:t xml:space="preserve">functions of key components of the instruments and effects on outputs and results of modifying instrumental variables, such as injection temperature, gas flow rate, column pressures, column type and </w:t>
      </w:r>
      <w:r w:rsidRPr="007A76F2">
        <w:t>detector type</w:t>
      </w:r>
    </w:p>
    <w:p w:rsidR="00000000" w:rsidRPr="007A76F2" w:rsidP="007A76F2">
      <w:pPr>
        <w:pStyle w:val="ListBullet"/>
      </w:pPr>
      <w:r w:rsidRPr="007A76F2">
        <w:t>procedure for optimising separation through changing operation parameters, such as injection technique, solvent type, sample size and sample preparation</w:t>
      </w:r>
    </w:p>
    <w:p w:rsidR="00000000" w:rsidRPr="007A76F2" w:rsidP="007A76F2">
      <w:pPr>
        <w:pStyle w:val="ListBullet"/>
      </w:pPr>
      <w:r w:rsidRPr="007A76F2">
        <w:t>basic procedure and equipment troubleshooting techniques</w:t>
      </w:r>
    </w:p>
    <w:p w:rsidR="00000000" w:rsidRPr="007A76F2" w:rsidP="007A76F2">
      <w:pPr>
        <w:pStyle w:val="ListBullet"/>
      </w:pPr>
      <w:r w:rsidRPr="007A76F2">
        <w:t>common procedure and equipment p</w:t>
      </w:r>
      <w:r w:rsidRPr="007A76F2">
        <w:t>roblems, including:</w:t>
      </w:r>
    </w:p>
    <w:p w:rsidR="00000000" w:rsidRPr="007A76F2" w:rsidP="007A76F2">
      <w:pPr>
        <w:pStyle w:val="ListBullet2"/>
      </w:pPr>
      <w:r w:rsidRPr="007A76F2">
        <w:t>problems with interfering substances</w:t>
      </w:r>
    </w:p>
    <w:p w:rsidR="00000000" w:rsidRPr="007A76F2" w:rsidP="007A76F2">
      <w:pPr>
        <w:pStyle w:val="ListBullet2"/>
      </w:pPr>
      <w:r w:rsidRPr="007A76F2">
        <w:t>poor resolution of peaks</w:t>
      </w:r>
    </w:p>
    <w:p w:rsidR="00000000" w:rsidRPr="007A76F2" w:rsidP="007A76F2">
      <w:pPr>
        <w:pStyle w:val="ListBullet2"/>
      </w:pPr>
      <w:r w:rsidRPr="007A76F2">
        <w:t>inappropriate selection of column or operating parameters (flow rate and temperature)</w:t>
      </w:r>
    </w:p>
    <w:p w:rsidR="00000000" w:rsidRPr="007A76F2" w:rsidP="007A76F2">
      <w:pPr>
        <w:pStyle w:val="ListBullet2"/>
      </w:pPr>
      <w:r w:rsidRPr="007A76F2">
        <w:t>unsuitable substrate or support solvent</w:t>
      </w:r>
    </w:p>
    <w:p w:rsidR="00000000" w:rsidRPr="007A76F2" w:rsidP="007A76F2">
      <w:pPr>
        <w:pStyle w:val="ListBullet2"/>
      </w:pPr>
      <w:r w:rsidRPr="007A76F2">
        <w:t>lack of suitable reference standards</w:t>
      </w:r>
    </w:p>
    <w:p w:rsidR="00000000" w:rsidRPr="007A76F2" w:rsidP="007A76F2">
      <w:pPr>
        <w:pStyle w:val="ListBullet"/>
      </w:pPr>
      <w:r w:rsidRPr="007A76F2">
        <w:t>calculation steps to give results in appropriate accuracy, precision, uncertainty and units</w:t>
      </w:r>
    </w:p>
    <w:p w:rsidR="00000000" w:rsidRPr="007A76F2" w:rsidP="007A76F2">
      <w:pPr>
        <w:pStyle w:val="ListBullet"/>
      </w:pPr>
      <w:r w:rsidRPr="007A76F2">
        <w:t>workplace and/or legal traceability requirements</w:t>
      </w:r>
    </w:p>
    <w:p w:rsidR="00000000" w:rsidRPr="007A76F2" w:rsidP="007A76F2">
      <w:pPr>
        <w:pStyle w:val="ListBullet"/>
      </w:pPr>
      <w:r w:rsidRPr="007A76F2">
        <w:t>basic equipment maintenance procedures</w:t>
      </w:r>
    </w:p>
    <w:p w:rsidR="00000000" w:rsidRPr="007A76F2" w:rsidP="007A76F2">
      <w:pPr>
        <w:pStyle w:val="ListBullet"/>
      </w:pPr>
      <w:r w:rsidRPr="007A76F2">
        <w:t>relevant hazards, work health and safety (WHS) and environment requirements.</w:t>
      </w:r>
    </w:p>
    <w:p w:rsidR="00000000" w:rsidRPr="007A76F2" w:rsidP="007A76F2">
      <w:pPr>
        <w:pStyle w:val="AllowPageBreak"/>
      </w:pPr>
    </w:p>
    <w:p w:rsidR="00000000" w:rsidRPr="007A76F2" w:rsidP="007A76F2">
      <w:pPr>
        <w:pStyle w:val="Heading1"/>
      </w:pPr>
      <w:bookmarkStart w:id="14" w:name="O_901667"/>
      <w:bookmarkEnd w:id="14"/>
      <w:r w:rsidRPr="007A76F2">
        <w:t>Assessment Conditions</w:t>
      </w:r>
    </w:p>
    <w:p w:rsidR="00000000" w:rsidRPr="007A76F2" w:rsidP="007A76F2">
      <w:pPr>
        <w:pStyle w:val="ListBullet"/>
      </w:pPr>
      <w:r w:rsidRPr="007A76F2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7A76F2" w:rsidP="007A76F2">
      <w:pPr>
        <w:pStyle w:val="ListBullet"/>
      </w:pPr>
      <w:r w:rsidRPr="007A76F2">
        <w:t>This unit of competency is t</w:t>
      </w:r>
      <w:r w:rsidRPr="007A76F2">
        <w:t>o be assessed in the workplace or a simulated workplace environment, and assessment evidence must be relevant to the particular workplace context. A simulated workplace environment must reflect realistic operational workplace conditions that cover all aspe</w:t>
      </w:r>
      <w:r w:rsidRPr="007A76F2">
        <w:t xml:space="preserve">cts of workplace performance, including the environment, task skills, task management skills, contingency management skills and job role environment skills.  </w:t>
      </w:r>
    </w:p>
    <w:p w:rsidR="00000000" w:rsidRPr="007A76F2" w:rsidP="007A76F2">
      <w:pPr>
        <w:pStyle w:val="ListBullet"/>
      </w:pPr>
      <w:r w:rsidRPr="007A76F2">
        <w:t>Foundation skills are integral to competent performance of the unit and should not be assessed se</w:t>
      </w:r>
      <w:r w:rsidRPr="007A76F2">
        <w:t xml:space="preserve">parately. </w:t>
      </w:r>
    </w:p>
    <w:p w:rsidR="00000000" w:rsidRPr="007A76F2" w:rsidP="007A76F2">
      <w:pPr>
        <w:pStyle w:val="ListBullet"/>
      </w:pPr>
      <w:r w:rsidRPr="007A76F2">
        <w:t>Assessment processes and techniques must be appropriate to the language, literacy and numeracy requirements of the work being performed and the needs of the candidate.</w:t>
      </w:r>
    </w:p>
    <w:p w:rsidR="00000000" w:rsidRPr="007A76F2" w:rsidP="007A76F2">
      <w:pPr>
        <w:pStyle w:val="ListBullet"/>
      </w:pPr>
      <w:r w:rsidRPr="007A76F2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7A76F2" w:rsidP="007A76F2">
      <w:pPr>
        <w:pStyle w:val="ListBullet"/>
      </w:pPr>
      <w:r w:rsidRPr="007A76F2">
        <w:t xml:space="preserve">This unit of competency may be assessed with: </w:t>
      </w:r>
    </w:p>
    <w:p w:rsidR="00000000" w:rsidRPr="007A76F2" w:rsidP="007A76F2">
      <w:pPr>
        <w:pStyle w:val="ListBullet2"/>
      </w:pPr>
      <w:r w:rsidRPr="007A76F2">
        <w:t>MSL</w:t>
      </w:r>
      <w:r w:rsidRPr="007A76F2">
        <w:t>925001 Analyse data and report results</w:t>
      </w:r>
    </w:p>
    <w:p w:rsidR="00000000" w:rsidRPr="007A76F2" w:rsidP="007A76F2">
      <w:pPr>
        <w:pStyle w:val="ListBullet"/>
      </w:pPr>
      <w:r w:rsidRPr="007A76F2">
        <w:t xml:space="preserve">Holistic assessment methods include: </w:t>
      </w:r>
    </w:p>
    <w:p w:rsidR="00000000" w:rsidRPr="007A76F2" w:rsidP="007A76F2">
      <w:pPr>
        <w:pStyle w:val="ListBullet2"/>
      </w:pPr>
      <w:r w:rsidRPr="007A76F2">
        <w:t>review of test data and results obtained by the candidate over time to ensure accuracy, consistency and timeliness of results</w:t>
      </w:r>
    </w:p>
    <w:p w:rsidR="00000000" w:rsidRPr="007A76F2" w:rsidP="007A76F2">
      <w:pPr>
        <w:pStyle w:val="ListBullet2"/>
      </w:pPr>
      <w:r w:rsidRPr="007A76F2">
        <w:t>inspection of test records and workplace documentat</w:t>
      </w:r>
      <w:r w:rsidRPr="007A76F2">
        <w:t>ion completed by the candidate</w:t>
      </w:r>
    </w:p>
    <w:p w:rsidR="00000000" w:rsidRPr="007A76F2" w:rsidP="007A76F2">
      <w:pPr>
        <w:pStyle w:val="ListBullet2"/>
      </w:pPr>
      <w:r w:rsidRPr="007A76F2">
        <w:t>feedback from peers and supervisors</w:t>
      </w:r>
    </w:p>
    <w:p w:rsidR="00000000" w:rsidRPr="007A76F2" w:rsidP="007A76F2">
      <w:pPr>
        <w:pStyle w:val="ListBullet2"/>
      </w:pPr>
      <w:r w:rsidRPr="007A76F2">
        <w:t>observation of candidate applying a range of routine chromatographic techniques</w:t>
      </w:r>
    </w:p>
    <w:p w:rsidR="00000000" w:rsidRPr="007A76F2" w:rsidP="007A76F2">
      <w:pPr>
        <w:pStyle w:val="ListBullet2"/>
      </w:pPr>
      <w:r w:rsidRPr="007A76F2">
        <w:t>oral or written questioning of chemical principles and concepts, chromatographic techniques and workplace pro</w:t>
      </w:r>
      <w:r w:rsidRPr="007A76F2">
        <w:t>cedures.</w:t>
      </w:r>
    </w:p>
    <w:p w:rsidR="00000000" w:rsidRPr="007A76F2" w:rsidP="007A76F2">
      <w:pPr>
        <w:pStyle w:val="ListBullet"/>
      </w:pPr>
      <w:r w:rsidRPr="007A76F2">
        <w:t>Access is required to instruments, equipment, materials, workplace documentation, procedures and specifications associated with this unit, including, but not limited to:</w:t>
      </w:r>
    </w:p>
    <w:p w:rsidR="00000000" w:rsidRPr="007A76F2" w:rsidP="007A76F2">
      <w:pPr>
        <w:pStyle w:val="ListBullet2"/>
      </w:pPr>
      <w:r w:rsidRPr="007A76F2">
        <w:t>a standard laboratory equipped with routine chromatographic equipment, labo</w:t>
      </w:r>
      <w:r w:rsidRPr="007A76F2">
        <w:t>ratory reagents and equipment</w:t>
      </w:r>
    </w:p>
    <w:p w:rsidR="00000000" w:rsidRPr="007A76F2" w:rsidP="007A76F2">
      <w:pPr>
        <w:pStyle w:val="ListBullet2"/>
      </w:pPr>
      <w:r w:rsidRPr="007A76F2">
        <w:t>standard operating procedures (SOPs) and test methods.</w:t>
      </w:r>
    </w:p>
    <w:p w:rsidR="00000000" w:rsidRPr="007A76F2" w:rsidP="007A76F2">
      <w:pPr>
        <w:pStyle w:val="ListBullet"/>
      </w:pPr>
      <w:r w:rsidRPr="007A76F2">
        <w:t xml:space="preserve">Assessors must satisfy the assessor competency requirements that are in place at the time of the assessment as set by the VET regulator.  </w:t>
      </w:r>
    </w:p>
    <w:p w:rsidR="00000000" w:rsidRPr="007A76F2" w:rsidP="007A76F2">
      <w:pPr>
        <w:pStyle w:val="ListBullet"/>
      </w:pPr>
      <w:r w:rsidRPr="007A76F2">
        <w:t>The assessor must demonstrate both technical competence and currency.</w:t>
      </w:r>
    </w:p>
    <w:p w:rsidR="00000000" w:rsidRPr="007A76F2" w:rsidP="007A76F2">
      <w:pPr>
        <w:pStyle w:val="ListBullet"/>
      </w:pPr>
      <w:r w:rsidRPr="007A76F2">
        <w:t>Technical competence can be demonstrated through:</w:t>
      </w:r>
    </w:p>
    <w:p w:rsidR="00000000" w:rsidRPr="007A76F2" w:rsidP="007A76F2">
      <w:pPr>
        <w:pStyle w:val="ListBullet2"/>
      </w:pPr>
      <w:r w:rsidRPr="007A76F2">
        <w:t>relevant VET or other qualification/Statement of Attainment AND/OR</w:t>
      </w:r>
    </w:p>
    <w:p w:rsidR="00000000" w:rsidRPr="007A76F2" w:rsidP="007A76F2">
      <w:pPr>
        <w:pStyle w:val="ListBullet2"/>
      </w:pPr>
      <w:r w:rsidRPr="007A76F2">
        <w:t>relevant workplace experience.</w:t>
      </w:r>
    </w:p>
    <w:p w:rsidR="00000000" w:rsidRPr="007A76F2" w:rsidP="007A76F2">
      <w:pPr>
        <w:pStyle w:val="ListBullet"/>
      </w:pPr>
      <w:r w:rsidRPr="007A76F2">
        <w:t>Currency can be demonstrated through</w:t>
      </w:r>
      <w:r w:rsidRPr="007A76F2">
        <w:t>:</w:t>
      </w:r>
    </w:p>
    <w:p w:rsidR="00000000" w:rsidRPr="007A76F2" w:rsidP="007A76F2">
      <w:pPr>
        <w:pStyle w:val="ListBullet2"/>
      </w:pPr>
      <w:r w:rsidRPr="007A76F2">
        <w:t>performing the competency being assessed as part of current employment OR</w:t>
      </w:r>
    </w:p>
    <w:p w:rsidR="00000000" w:rsidRPr="007A76F2" w:rsidP="007A76F2">
      <w:pPr>
        <w:pStyle w:val="ListBullet2"/>
      </w:pPr>
      <w:r w:rsidRPr="007A76F2">
        <w:t>having consulted with a laboratory about performing the competency being assessed within the last twelve months.</w:t>
      </w:r>
    </w:p>
    <w:p w:rsidR="00000000" w:rsidRPr="007A76F2" w:rsidP="007A76F2">
      <w:pPr>
        <w:pStyle w:val="AllowPageBreak"/>
      </w:pPr>
    </w:p>
    <w:p w:rsidR="00000000" w:rsidRPr="007A76F2" w:rsidP="007A76F2">
      <w:pPr>
        <w:pStyle w:val="Heading1"/>
      </w:pPr>
      <w:bookmarkStart w:id="15" w:name="O_901665"/>
      <w:bookmarkEnd w:id="15"/>
      <w:r w:rsidRPr="007A76F2">
        <w:t>Links</w:t>
      </w:r>
    </w:p>
    <w:p w:rsidR="00000000" w:rsidRPr="007A76F2" w:rsidP="00AB55F0">
      <w:pPr>
        <w:pStyle w:val="BodyText"/>
      </w:pPr>
      <w:r w:rsidRPr="007A76F2">
        <w:t xml:space="preserve">Companion Volume implementation guides are </w:t>
      </w:r>
      <w:r w:rsidRPr="007A76F2">
        <w:t xml:space="preserve">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75D2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A76F2" w:rsidP="007A76F2"/>
    <w:sectPr w:rsidSect="007A76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F2" w:rsidRPr="00AB55F0" w:rsidP="00AB5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F0" w:rsidP="007A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B55F0" w:rsidP="007A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55F0" w:rsidP="007A76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F2" w:rsidP="007A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55F0">
      <w:t>Approved</w:t>
    </w:r>
    <w:r w:rsidR="00AB55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55F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55F0">
      <w:rPr>
        <w:noProof/>
      </w:rPr>
      <w:t>7</w:t>
    </w:r>
    <w:r>
      <w:rPr>
        <w:noProof/>
      </w:rPr>
      <w:fldChar w:fldCharType="end"/>
    </w:r>
  </w:p>
  <w:p w:rsidR="007A76F2" w:rsidP="007A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55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55F0">
      <w:t>Manufacturing Industry Skills Alliance</w:t>
    </w:r>
    <w:r w:rsidR="00AB55F0">
      <w:fldChar w:fldCharType="end"/>
    </w:r>
  </w:p>
  <w:p w:rsidR="007A76F2" w:rsidP="007A7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6F2" w:rsidRPr="00AB55F0" w:rsidP="00AB5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F0" w:rsidRPr="002D2AF8" w:rsidP="007A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MSL975009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55F0" w:rsidP="007A76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F2" w:rsidRPr="002D2AF8" w:rsidP="007A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55F0">
      <w:t>MSL975009 Apply routine chromatographic techniques</w:t>
    </w:r>
    <w:r w:rsidR="00AB55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55F0">
      <w:rPr>
        <w:noProof/>
      </w:rPr>
      <w:t>2 March 2025</w:t>
    </w:r>
    <w:r>
      <w:fldChar w:fldCharType="end"/>
    </w:r>
  </w:p>
  <w:p w:rsidR="007A76F2" w:rsidP="007A7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E83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680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64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6F2"/>
  </w:style>
  <w:style w:type="character" w:customStyle="1" w:styleId="Heading1Char">
    <w:name w:val="Heading 1 Char"/>
    <w:basedOn w:val="DefaultParagraphFont"/>
    <w:link w:val="Heading1"/>
    <w:rsid w:val="007A7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6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6F2"/>
    <w:rPr>
      <w:b/>
      <w:spacing w:val="0"/>
    </w:rPr>
  </w:style>
  <w:style w:type="paragraph" w:styleId="ListBullet2">
    <w:name w:val="List Bullet 2"/>
    <w:basedOn w:val="List2"/>
    <w:rsid w:val="007A76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A76F2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7A7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6F2"/>
    <w:rPr>
      <w:i/>
    </w:rPr>
  </w:style>
  <w:style w:type="paragraph" w:styleId="Caption">
    <w:name w:val="caption"/>
    <w:basedOn w:val="BodyText"/>
    <w:next w:val="Normal"/>
    <w:qFormat/>
    <w:rsid w:val="007A7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6F2"/>
  </w:style>
  <w:style w:type="paragraph" w:styleId="TableofFigures">
    <w:name w:val="table of figures"/>
    <w:basedOn w:val="Normal"/>
    <w:next w:val="Normal"/>
    <w:semiHidden/>
    <w:rsid w:val="007A7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6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6F2"/>
    <w:rPr>
      <w:rFonts w:ascii="Wingdings" w:hAnsi="Wingdings"/>
    </w:rPr>
  </w:style>
  <w:style w:type="paragraph" w:customStyle="1" w:styleId="TableHeading">
    <w:name w:val="Table Heading"/>
    <w:basedOn w:val="HeadingBase"/>
    <w:rsid w:val="007A7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6F2"/>
    <w:rPr>
      <w:color w:val="0033CC"/>
      <w:u w:val="none"/>
    </w:rPr>
  </w:style>
  <w:style w:type="paragraph" w:customStyle="1" w:styleId="BodyTextRight">
    <w:name w:val="Body Text Right"/>
    <w:basedOn w:val="BodyText"/>
    <w:rsid w:val="007A7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6F2"/>
    <w:rPr>
      <w:sz w:val="32"/>
    </w:rPr>
  </w:style>
  <w:style w:type="paragraph" w:customStyle="1" w:styleId="HeadingProcedure">
    <w:name w:val="Heading Procedure"/>
    <w:basedOn w:val="HeadingBase"/>
    <w:next w:val="Normal"/>
    <w:rsid w:val="007A7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6F2"/>
    <w:pPr>
      <w:spacing w:before="60" w:after="60"/>
    </w:pPr>
  </w:style>
  <w:style w:type="paragraph" w:styleId="ListContinue">
    <w:name w:val="List Continue"/>
    <w:basedOn w:val="List"/>
    <w:rsid w:val="007A76F2"/>
    <w:pPr>
      <w:ind w:firstLine="0"/>
    </w:pPr>
  </w:style>
  <w:style w:type="paragraph" w:customStyle="1" w:styleId="ListNote">
    <w:name w:val="List Note"/>
    <w:basedOn w:val="List"/>
    <w:rsid w:val="007A7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6F2"/>
    <w:rPr>
      <w:rFonts w:ascii="Courier New" w:hAnsi="Courier New"/>
    </w:rPr>
  </w:style>
  <w:style w:type="paragraph" w:customStyle="1" w:styleId="NoteBullet">
    <w:name w:val="Note Bullet"/>
    <w:basedOn w:val="Note"/>
    <w:rsid w:val="007A7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6F2"/>
    <w:rPr>
      <w:b/>
      <w:smallCaps/>
    </w:rPr>
  </w:style>
  <w:style w:type="paragraph" w:customStyle="1" w:styleId="TableListNumber">
    <w:name w:val="Table List Number"/>
    <w:basedOn w:val="ListNumber"/>
    <w:rsid w:val="007A7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6F2"/>
    <w:pPr>
      <w:numPr>
        <w:numId w:val="9"/>
      </w:numPr>
    </w:pPr>
  </w:style>
  <w:style w:type="paragraph" w:customStyle="1" w:styleId="ListAlpha2">
    <w:name w:val="List Alpha 2"/>
    <w:basedOn w:val="List2"/>
    <w:rsid w:val="007A76F2"/>
    <w:pPr>
      <w:numPr>
        <w:numId w:val="8"/>
      </w:numPr>
    </w:pPr>
  </w:style>
  <w:style w:type="paragraph" w:styleId="List2">
    <w:name w:val="List 2"/>
    <w:basedOn w:val="BodyText"/>
    <w:rsid w:val="007A7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6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6F2"/>
    <w:pPr>
      <w:numPr>
        <w:numId w:val="4"/>
      </w:numPr>
    </w:pPr>
  </w:style>
  <w:style w:type="paragraph" w:styleId="ListContinue2">
    <w:name w:val="List Continue 2"/>
    <w:basedOn w:val="List2"/>
    <w:rsid w:val="007A76F2"/>
    <w:pPr>
      <w:ind w:firstLine="0"/>
    </w:pPr>
  </w:style>
  <w:style w:type="paragraph" w:styleId="ListContinue3">
    <w:name w:val="List Continue 3"/>
    <w:basedOn w:val="List3"/>
    <w:rsid w:val="007A76F2"/>
    <w:pPr>
      <w:ind w:left="1021" w:firstLine="0"/>
    </w:pPr>
  </w:style>
  <w:style w:type="paragraph" w:styleId="ListContinue4">
    <w:name w:val="List Continue 4"/>
    <w:basedOn w:val="List4"/>
    <w:rsid w:val="007A76F2"/>
    <w:pPr>
      <w:ind w:firstLine="0"/>
    </w:pPr>
  </w:style>
  <w:style w:type="paragraph" w:styleId="ListContinue5">
    <w:name w:val="List Continue 5"/>
    <w:basedOn w:val="List5"/>
    <w:rsid w:val="007A76F2"/>
    <w:pPr>
      <w:ind w:firstLine="0"/>
    </w:pPr>
  </w:style>
  <w:style w:type="paragraph" w:styleId="ListNumber3">
    <w:name w:val="List Number 3"/>
    <w:basedOn w:val="List3"/>
    <w:rsid w:val="007A76F2"/>
    <w:pPr>
      <w:numPr>
        <w:numId w:val="5"/>
      </w:numPr>
    </w:pPr>
  </w:style>
  <w:style w:type="paragraph" w:styleId="ListNumber4">
    <w:name w:val="List Number 4"/>
    <w:basedOn w:val="List4"/>
    <w:rsid w:val="007A76F2"/>
    <w:pPr>
      <w:numPr>
        <w:numId w:val="6"/>
      </w:numPr>
    </w:pPr>
  </w:style>
  <w:style w:type="paragraph" w:styleId="ListNumber5">
    <w:name w:val="List Number 5"/>
    <w:basedOn w:val="List5"/>
    <w:rsid w:val="007A76F2"/>
    <w:pPr>
      <w:numPr>
        <w:numId w:val="7"/>
      </w:numPr>
    </w:pPr>
  </w:style>
  <w:style w:type="paragraph" w:styleId="BlockText">
    <w:name w:val="Block Text"/>
    <w:basedOn w:val="Normal"/>
    <w:rsid w:val="007A7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6F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A7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6F2"/>
    <w:rPr>
      <w:b/>
    </w:rPr>
  </w:style>
  <w:style w:type="character" w:customStyle="1" w:styleId="Underlined">
    <w:name w:val="Underlined"/>
    <w:basedOn w:val="DefaultParagraphFont"/>
    <w:rsid w:val="007A76F2"/>
    <w:rPr>
      <w:u w:val="single"/>
    </w:rPr>
  </w:style>
  <w:style w:type="paragraph" w:customStyle="1" w:styleId="TableBodyTextRight">
    <w:name w:val="Table Body Text Right"/>
    <w:basedOn w:val="TableBodyText"/>
    <w:rsid w:val="007A7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6F2"/>
    <w:rPr>
      <w:sz w:val="18"/>
    </w:rPr>
  </w:style>
  <w:style w:type="paragraph" w:customStyle="1" w:styleId="BodySmallRight">
    <w:name w:val="Body Small Right"/>
    <w:basedOn w:val="BodyTextRight"/>
    <w:rsid w:val="007A76F2"/>
    <w:rPr>
      <w:sz w:val="18"/>
      <w:szCs w:val="18"/>
    </w:rPr>
  </w:style>
  <w:style w:type="paragraph" w:customStyle="1" w:styleId="MarginEdition">
    <w:name w:val="Margin Edition"/>
    <w:basedOn w:val="MarginNote"/>
    <w:rsid w:val="007A7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6F2"/>
    <w:rPr>
      <w:sz w:val="2"/>
      <w:szCs w:val="2"/>
    </w:rPr>
  </w:style>
  <w:style w:type="character" w:customStyle="1" w:styleId="Small">
    <w:name w:val="Small"/>
    <w:basedOn w:val="DefaultParagraphFont"/>
    <w:rsid w:val="007A76F2"/>
    <w:rPr>
      <w:sz w:val="16"/>
    </w:rPr>
  </w:style>
  <w:style w:type="paragraph" w:customStyle="1" w:styleId="WideTable">
    <w:name w:val="Wide Table"/>
    <w:basedOn w:val="Normal"/>
    <w:rsid w:val="007A7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6F2"/>
  </w:style>
  <w:style w:type="paragraph" w:styleId="Quote">
    <w:name w:val="Quote"/>
    <w:basedOn w:val="Heading1"/>
    <w:link w:val="QuoteChar"/>
    <w:qFormat/>
    <w:rsid w:val="007A7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6F2"/>
    <w:pPr>
      <w:pageBreakBefore/>
    </w:pPr>
  </w:style>
  <w:style w:type="paragraph" w:customStyle="1" w:styleId="Border">
    <w:name w:val="Border"/>
    <w:basedOn w:val="Normal"/>
    <w:qFormat/>
    <w:rsid w:val="007A7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6F2"/>
    <w:rPr>
      <w:u w:val="single"/>
    </w:rPr>
  </w:style>
  <w:style w:type="character" w:customStyle="1" w:styleId="BoldandItalics">
    <w:name w:val="Bold and Italics"/>
    <w:qFormat/>
    <w:rsid w:val="007A76F2"/>
    <w:rPr>
      <w:b/>
      <w:i/>
      <w:u w:val="none"/>
    </w:rPr>
  </w:style>
  <w:style w:type="paragraph" w:styleId="BalloonText">
    <w:name w:val="Balloon Text"/>
    <w:basedOn w:val="Normal"/>
    <w:link w:val="BalloonTextChar"/>
    <w:rsid w:val="007A7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6F2"/>
    <w:pPr>
      <w:spacing w:before="0" w:after="0"/>
    </w:pPr>
  </w:style>
  <w:style w:type="paragraph" w:customStyle="1" w:styleId="BodyTextBold">
    <w:name w:val="Body Text Bold"/>
    <w:basedOn w:val="BodyText"/>
    <w:qFormat/>
    <w:rsid w:val="007A76F2"/>
    <w:rPr>
      <w:b/>
    </w:rPr>
  </w:style>
  <w:style w:type="character" w:styleId="Hyperlink">
    <w:name w:val="Hyperlink"/>
    <w:basedOn w:val="DefaultParagraphFont"/>
    <w:uiPriority w:val="99"/>
    <w:unhideWhenUsed/>
    <w:rsid w:val="00AB5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2024</Words>
  <Characters>13604</Characters>
  <Application>Microsoft Office Word</Application>
  <DocSecurity>0</DocSecurity>
  <Lines>438</Lines>
  <Paragraphs>252</Paragraphs>
  <ScaleCrop>false</ScaleCrop>
  <Company>Author-it Software Corporation Ltd.</Company>
  <LinksUpToDate>false</LinksUpToDate>
  <CharactersWithSpaces>15376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MSL975009 Apply routine chromatographic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