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2B4" w:rsidP="00EA22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MSL975008 Apply electrophoretic techniques</w:t>
      </w:r>
      <w:r>
        <w:fldChar w:fldCharType="end"/>
      </w:r>
    </w:p>
    <w:p w:rsidR="00EA22B4" w:rsidP="00EA22B4">
      <w:pPr>
        <w:pStyle w:val="Version"/>
        <w:sectPr w:rsidSect="00776C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C4A" w:rsidP="00776C4A">
      <w:pPr>
        <w:pStyle w:val="SuperHeading"/>
      </w:pPr>
      <w:r w:rsidRPr="00776C4A">
        <w:t>MSL975008 Apply electrophoretic techniques</w:t>
      </w:r>
    </w:p>
    <w:p w:rsidR="00000000" w:rsidRPr="00776C4A" w:rsidP="00776C4A">
      <w:pPr>
        <w:pStyle w:val="Heading1"/>
      </w:pPr>
      <w:bookmarkStart w:id="1" w:name="O_901635"/>
      <w:bookmarkEnd w:id="1"/>
      <w:r w:rsidRPr="00776C4A">
        <w:t>Modification History</w:t>
      </w:r>
    </w:p>
    <w:p w:rsidR="00000000" w:rsidRPr="00776C4A" w:rsidP="00776C4A">
      <w:pPr>
        <w:pStyle w:val="BodyText"/>
      </w:pPr>
      <w:r w:rsidRPr="00776C4A">
        <w:t>Release 1. Supersedes and is equivalent to MSL975008A Apply electrophoretic techniques</w:t>
      </w:r>
    </w:p>
    <w:p w:rsidR="00000000" w:rsidRPr="00776C4A" w:rsidP="00776C4A">
      <w:pPr>
        <w:pStyle w:val="AllowPageBreak"/>
      </w:pPr>
    </w:p>
    <w:p w:rsidR="00000000" w:rsidRPr="00776C4A" w:rsidP="00776C4A">
      <w:pPr>
        <w:pStyle w:val="Heading1"/>
      </w:pPr>
      <w:bookmarkStart w:id="2" w:name="O_901643"/>
      <w:bookmarkEnd w:id="2"/>
      <w:r w:rsidRPr="00776C4A">
        <w:t>Application</w:t>
      </w:r>
    </w:p>
    <w:p w:rsidR="00000000" w:rsidRPr="00776C4A" w:rsidP="00776C4A">
      <w:pPr>
        <w:pStyle w:val="BodyText"/>
      </w:pPr>
      <w:r w:rsidRPr="00776C4A">
        <w:t xml:space="preserve">This unit of competency covers the ability to analyse samples using electrophoretic techniques. The unit also includes </w:t>
      </w:r>
      <w:r w:rsidRPr="00776C4A">
        <w:t>establishing client needs for routine and non-routine samples, optimising workplace procedures and instruments for specific samples, obtaining valid and reliable data and reporting test results. Personnel are required to recognise atypical test data/result</w:t>
      </w:r>
      <w:r w:rsidRPr="00776C4A">
        <w:t xml:space="preserve">s and troubleshoot common analytical procedure and equipment problems. </w:t>
      </w:r>
    </w:p>
    <w:p w:rsidR="00000000" w:rsidRPr="00776C4A" w:rsidP="00776C4A">
      <w:pPr>
        <w:pStyle w:val="BodyText"/>
      </w:pPr>
    </w:p>
    <w:p w:rsidR="00000000" w:rsidRPr="00776C4A" w:rsidP="00776C4A">
      <w:pPr>
        <w:pStyle w:val="BodyText"/>
      </w:pPr>
      <w:r w:rsidRPr="00776C4A">
        <w:t>This unit of competency is applicable to laboratory technical officers working in all industry sectors. All operations and analytical methods must comply with relevant standards, appr</w:t>
      </w:r>
      <w:r w:rsidRPr="00776C4A">
        <w:t>opriate procedures and/or workplace requirements. Although a supervisor may not always be present, the technician will follow standard operating procedures (SOPs) that clearly describe their scope of permitted practice, including varying workplace/test pro</w:t>
      </w:r>
      <w:r w:rsidRPr="00776C4A">
        <w:t>cedures and communicating results to people outside the laboratory.</w:t>
      </w:r>
    </w:p>
    <w:p w:rsidR="00000000" w:rsidRPr="00776C4A" w:rsidP="00776C4A">
      <w:pPr>
        <w:pStyle w:val="BodyText"/>
      </w:pPr>
    </w:p>
    <w:p w:rsidR="00000000" w:rsidRPr="00776C4A" w:rsidP="00776C4A">
      <w:pPr>
        <w:pStyle w:val="BodyText"/>
      </w:pPr>
      <w:r w:rsidRPr="00776C4A">
        <w:t>While no specific licensing or certification requirements apply to this unit at the time of publication, laboratory operations are governed by relevant legislation, regulations and/or ext</w:t>
      </w:r>
      <w:r w:rsidRPr="00776C4A">
        <w:t>ernal accreditation requirements. Local requirements should be checked.</w:t>
      </w:r>
    </w:p>
    <w:p w:rsidR="00000000" w:rsidRPr="00776C4A" w:rsidP="00776C4A">
      <w:pPr>
        <w:pStyle w:val="AllowPageBreak"/>
      </w:pPr>
    </w:p>
    <w:p w:rsidR="00000000" w:rsidRPr="00776C4A" w:rsidP="00776C4A">
      <w:pPr>
        <w:pStyle w:val="Heading1"/>
      </w:pPr>
      <w:bookmarkStart w:id="3" w:name="O_901642"/>
      <w:bookmarkEnd w:id="3"/>
      <w:r w:rsidRPr="00776C4A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A2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MSL974006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Perform biological procedures</w:t>
            </w:r>
          </w:p>
        </w:tc>
      </w:tr>
      <w:tr w:rsidTr="00EA2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rPr>
                <w:rStyle w:val="SpecialBold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</w:p>
        </w:tc>
      </w:tr>
      <w:tr w:rsidTr="00EA2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MSL974003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4A" w:rsidP="00776C4A">
            <w:pPr>
              <w:pStyle w:val="BodyText"/>
            </w:pPr>
            <w:r w:rsidRPr="00776C4A">
              <w:t>Perform chemical tests and procedures</w:t>
            </w:r>
          </w:p>
        </w:tc>
      </w:tr>
    </w:tbl>
    <w:p w:rsidR="00000000" w:rsidRPr="00776C4A" w:rsidP="00776C4A">
      <w:pPr>
        <w:pStyle w:val="BodyText"/>
      </w:pPr>
    </w:p>
    <w:p w:rsidR="00000000" w:rsidRPr="00776C4A" w:rsidP="00776C4A">
      <w:pPr>
        <w:pStyle w:val="AllowPageBreak"/>
      </w:pPr>
    </w:p>
    <w:p w:rsidR="00000000" w:rsidRPr="00776C4A" w:rsidP="00776C4A">
      <w:pPr>
        <w:pStyle w:val="Heading1"/>
      </w:pPr>
      <w:bookmarkStart w:id="4" w:name="O_901641"/>
      <w:bookmarkEnd w:id="4"/>
      <w:r w:rsidRPr="00776C4A">
        <w:t>Competency Field</w:t>
      </w:r>
    </w:p>
    <w:p w:rsidR="00000000" w:rsidRPr="00776C4A" w:rsidP="00776C4A">
      <w:pPr>
        <w:pStyle w:val="BodyText"/>
      </w:pPr>
      <w:r w:rsidRPr="00776C4A">
        <w:t>Testing</w:t>
      </w:r>
    </w:p>
    <w:p w:rsidR="00000000" w:rsidRPr="00776C4A" w:rsidP="00776C4A">
      <w:pPr>
        <w:pStyle w:val="AllowPageBreak"/>
      </w:pPr>
    </w:p>
    <w:p w:rsidR="00000000" w:rsidRPr="00776C4A" w:rsidP="00776C4A">
      <w:pPr>
        <w:pStyle w:val="Heading1"/>
      </w:pPr>
      <w:bookmarkStart w:id="5" w:name="O_901640"/>
      <w:bookmarkEnd w:id="5"/>
      <w:r w:rsidRPr="00776C4A">
        <w:t>Unit Sector</w:t>
      </w:r>
    </w:p>
    <w:p w:rsidR="00000000" w:rsidRPr="00776C4A" w:rsidP="00776C4A">
      <w:pPr>
        <w:pStyle w:val="Heading1"/>
      </w:pPr>
      <w:bookmarkStart w:id="6" w:name="O_901639"/>
      <w:bookmarkEnd w:id="6"/>
      <w:r w:rsidRPr="00776C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Performance criteria describe the performance needed to demonstrate achievement of the element.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4A" w:rsidP="00776C4A">
            <w:pPr>
              <w:pStyle w:val="BodyText"/>
            </w:pPr>
            <w:r w:rsidRPr="00776C4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rPr>
                <w:rStyle w:val="SpecialBold"/>
              </w:rPr>
              <w:t>Establish client needs and schedule analysi</w:t>
            </w:r>
            <w:r w:rsidRPr="00776C4A">
              <w:rPr>
                <w:rStyle w:val="SpecialBold"/>
              </w:rPr>
              <w:t>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Liaise with client or sample provider to determine client needs and sample history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Record sample description, compare with specification and record and report discrepancies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Identify non-routine samples and the possible need to vary workplace procedures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Seek advice from supervisor about any proposed variations and document all approved changes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Schedule analysis using workplace procedures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4A" w:rsidP="00776C4A">
            <w:pPr>
              <w:pStyle w:val="BodyText"/>
            </w:pPr>
            <w:r w:rsidRPr="00776C4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Obtain a representative analytical portion of the laboratory sample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Prepare sample in accordance with testing requirements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Prepare validation checks for analytical portion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4A" w:rsidP="00776C4A">
            <w:pPr>
              <w:pStyle w:val="BodyText"/>
            </w:pPr>
            <w:r w:rsidRPr="00776C4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rPr>
                <w:rStyle w:val="SpecialBold"/>
              </w:rPr>
              <w:t>Set up and optimise instrument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Perform pre-use and safety checks in accordance with workplace procedures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Start up and condition the instrument using workplace procedures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Optimise instrumental parameters to suit sample and test requirements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Check calibration status of instrument and perform calibration using specified standards and procedures, as required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4A" w:rsidP="00776C4A">
            <w:pPr>
              <w:pStyle w:val="BodyText"/>
            </w:pPr>
            <w:r w:rsidRPr="00776C4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Measure analyte response for standards, validation checks and samples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Conduct sufficient measurements to obtain reliable data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Return instruments to standby or shutdown condition as required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4A" w:rsidP="00776C4A">
            <w:pPr>
              <w:pStyle w:val="BodyText"/>
            </w:pPr>
            <w:r w:rsidRPr="00776C4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Confirm data is the result of valid measurements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Perform required calculations and ensure results are consistent with standards or estimations and expectations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Record results with the appropriate accuracy, precision and units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Analyse trends in data and/or results and report out-of-specification or atypical results promptly to appropriate personnel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Troubleshoot analytical procedure or equipment problems which have led to atypical data or results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4A" w:rsidP="00776C4A">
            <w:pPr>
              <w:pStyle w:val="BodyText"/>
            </w:pPr>
            <w:r w:rsidRPr="00776C4A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Identify risks, hazards, safety equipment and control measures associated with sample handling, preparation and analytical method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Use personal protective equipment (PPE) and safety procedures specified for test m</w:t>
            </w:r>
            <w:r w:rsidRPr="00776C4A">
              <w:t>ethod and materials to be tested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Minimise the generation of waste and environmental impacts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Ensure the safe disposal of laboratory waste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Clean, care for and store equipment and consumables in accordance with workplace procedures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4A" w:rsidP="00776C4A">
            <w:pPr>
              <w:pStyle w:val="BodyText"/>
            </w:pPr>
            <w:r w:rsidRPr="00776C4A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Enter approved data and results into laboratory information management system (LIMS)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Maintain equipment logs in accordance with workplace procedures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Maintain security, integrity and traceability of samples and documentation</w:t>
            </w:r>
          </w:p>
        </w:tc>
      </w:tr>
      <w:tr w:rsidTr="00776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4A" w:rsidP="00776C4A">
            <w:pPr>
              <w:pStyle w:val="BodyText"/>
            </w:pPr>
            <w:r w:rsidRPr="00776C4A">
              <w:t>Communicate results to appropriate personnel</w:t>
            </w:r>
          </w:p>
        </w:tc>
      </w:tr>
    </w:tbl>
    <w:p w:rsidR="00000000" w:rsidRPr="00776C4A" w:rsidP="00776C4A">
      <w:pPr>
        <w:pStyle w:val="BodyText"/>
      </w:pPr>
    </w:p>
    <w:p w:rsidR="00000000" w:rsidRPr="00776C4A" w:rsidP="00776C4A">
      <w:pPr>
        <w:pStyle w:val="AllowPageBreak"/>
      </w:pPr>
    </w:p>
    <w:p w:rsidR="00000000" w:rsidRPr="00776C4A" w:rsidP="00776C4A">
      <w:pPr>
        <w:pStyle w:val="Heading1"/>
      </w:pPr>
      <w:bookmarkStart w:id="7" w:name="O_901638"/>
      <w:bookmarkEnd w:id="7"/>
      <w:r w:rsidRPr="00776C4A">
        <w:t>Foundation Skills</w:t>
      </w:r>
    </w:p>
    <w:p w:rsidR="00000000" w:rsidRPr="00776C4A" w:rsidP="00776C4A">
      <w:pPr>
        <w:pStyle w:val="BodyText"/>
      </w:pPr>
      <w:r w:rsidRPr="00776C4A">
        <w:t>This section describes those language, literacy, numeracy and employment skills that are ess</w:t>
      </w:r>
      <w:r w:rsidRPr="00776C4A">
        <w:t>ential to performance.</w:t>
      </w:r>
    </w:p>
    <w:p w:rsidR="00000000" w:rsidRPr="00776C4A" w:rsidP="00776C4A">
      <w:pPr>
        <w:pStyle w:val="BodyText"/>
      </w:pPr>
    </w:p>
    <w:p w:rsidR="00000000" w:rsidRPr="00776C4A" w:rsidP="00776C4A">
      <w:pPr>
        <w:pStyle w:val="BodyText"/>
      </w:pPr>
      <w:r w:rsidRPr="00776C4A">
        <w:t>Foundation skills essential to performance are explicit in the performance criteria of this unit of competency.</w:t>
      </w:r>
    </w:p>
    <w:p w:rsidR="00000000" w:rsidRPr="00776C4A" w:rsidP="00776C4A">
      <w:pPr>
        <w:pStyle w:val="AllowPageBreak"/>
      </w:pPr>
    </w:p>
    <w:p w:rsidR="00000000" w:rsidRPr="00776C4A" w:rsidP="00776C4A">
      <w:pPr>
        <w:pStyle w:val="Heading1"/>
      </w:pPr>
      <w:bookmarkStart w:id="8" w:name="O_901637"/>
      <w:bookmarkEnd w:id="8"/>
      <w:r w:rsidRPr="00776C4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A2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t>This field allows for different work environments and conditions that may affect pe</w:t>
            </w:r>
            <w:r w:rsidRPr="00776C4A">
              <w:t>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EA2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4A" w:rsidP="00776C4A">
            <w:pPr>
              <w:pStyle w:val="BodyText"/>
            </w:pPr>
            <w:r w:rsidRPr="00776C4A">
              <w:t>Standards, codes, procedures and/or workplace requirements include the latest version of one or more of:</w:t>
            </w:r>
          </w:p>
          <w:p w:rsidR="00000000" w:rsidRPr="00776C4A" w:rsidP="00776C4A">
            <w:pPr>
              <w:pStyle w:val="ListBullet"/>
            </w:pPr>
            <w:r w:rsidRPr="00776C4A">
              <w:t>Australian and international standards covering the requirements for the competence of tes</w:t>
            </w:r>
            <w:r w:rsidRPr="00776C4A">
              <w:t>ting and calibration laboratories, laboratory design and construction, physical containment levels and facility types, laboratory safety, and quality and environmental management</w:t>
            </w:r>
          </w:p>
          <w:p w:rsidR="00000000" w:rsidRPr="00776C4A" w:rsidP="00776C4A">
            <w:pPr>
              <w:pStyle w:val="ListBullet"/>
            </w:pPr>
            <w:r w:rsidRPr="00776C4A">
              <w:t>national work health and safety (WHS) standards and codes of practice, and na</w:t>
            </w:r>
            <w:r w:rsidRPr="00776C4A">
              <w:t>tional measurement regulations and guidelines</w:t>
            </w:r>
          </w:p>
          <w:p w:rsidR="00000000" w:rsidRPr="00776C4A" w:rsidP="00776C4A">
            <w:pPr>
              <w:pStyle w:val="ListBullet"/>
            </w:pPr>
            <w:r w:rsidRPr="00776C4A">
              <w:t>Australian and international standards, guidelines and methods for electrophoretic analysis, accuracy of measurement methods and results, expression of uncertainty and quantifying uncertainty</w:t>
            </w:r>
          </w:p>
          <w:p w:rsidR="00000000" w:rsidRPr="00776C4A" w:rsidP="00776C4A">
            <w:pPr>
              <w:pStyle w:val="ListBullet"/>
            </w:pPr>
            <w:r w:rsidRPr="00776C4A">
              <w:t>specific codes, gu</w:t>
            </w:r>
            <w:r w:rsidRPr="00776C4A">
              <w:t>idelines, procedures and methods, such as the Australian code of good manufacturing practice for medicinal products (GMP), and principles of good laboratory practice (GLP)</w:t>
            </w:r>
          </w:p>
          <w:p w:rsidR="00000000" w:rsidRPr="00776C4A" w:rsidP="00776C4A">
            <w:pPr>
              <w:pStyle w:val="ListBullet"/>
            </w:pPr>
            <w:r w:rsidRPr="00776C4A">
              <w:t>workplace documents, such as SOPs; quality and equipment manuals; calibration and ma</w:t>
            </w:r>
            <w:r w:rsidRPr="00776C4A">
              <w:t>intenance schedules; material safety data sheets (MSDS) and safety procedures; material, production and product specifications; production and laboratory schedules; workplace recording and reporting procedures; waste minimisation and safe disposal procedur</w:t>
            </w:r>
            <w:r w:rsidRPr="00776C4A">
              <w:t>es; cleaning, hygiene and personal hygiene requirements; stock records and inventory</w:t>
            </w:r>
          </w:p>
          <w:p w:rsidR="00000000" w:rsidRPr="00776C4A" w:rsidP="00776C4A">
            <w:pPr>
              <w:pStyle w:val="ListBullet"/>
            </w:pPr>
            <w:r w:rsidRPr="00776C4A">
              <w:t>sampling procedures (labelling, preparation, storage, transport and disposal)</w:t>
            </w:r>
          </w:p>
          <w:p w:rsidR="00000000" w:rsidRPr="00776C4A" w:rsidP="00776C4A">
            <w:pPr>
              <w:pStyle w:val="ListBullet"/>
            </w:pPr>
            <w:r w:rsidRPr="00776C4A">
              <w:t>test procedures (validated and authorised)</w:t>
            </w:r>
          </w:p>
          <w:p w:rsidR="00000000" w:rsidP="00776C4A">
            <w:pPr>
              <w:pStyle w:val="BodyText"/>
              <w:rPr>
                <w:lang w:val="en-NZ"/>
              </w:rPr>
            </w:pPr>
          </w:p>
        </w:tc>
      </w:tr>
      <w:tr w:rsidTr="00EA2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rPr>
                <w:rStyle w:val="SpecialBold"/>
              </w:rPr>
              <w:t>Electrophoretic methods for both analytical and preparative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4A" w:rsidP="00776C4A">
            <w:pPr>
              <w:pStyle w:val="BodyText"/>
            </w:pPr>
            <w:r w:rsidRPr="00776C4A">
              <w:t>Electrophoretic methods, for both analytical and preparative procedures, include, but are not limited to, one or more of:</w:t>
            </w:r>
          </w:p>
          <w:p w:rsidR="00000000" w:rsidRPr="00776C4A" w:rsidP="00776C4A">
            <w:pPr>
              <w:pStyle w:val="ListBullet"/>
            </w:pPr>
            <w:r w:rsidRPr="00776C4A">
              <w:t xml:space="preserve">vertical or horizontal apparatus </w:t>
            </w:r>
          </w:p>
          <w:p w:rsidR="00000000" w:rsidRPr="00776C4A" w:rsidP="00776C4A">
            <w:pPr>
              <w:pStyle w:val="ListBullet"/>
            </w:pPr>
            <w:r w:rsidRPr="00776C4A">
              <w:t>support materials, such as c</w:t>
            </w:r>
            <w:r w:rsidRPr="00776C4A">
              <w:t>ellulose acetate</w:t>
            </w:r>
          </w:p>
          <w:p w:rsidR="00000000" w:rsidRPr="00776C4A" w:rsidP="00776C4A">
            <w:pPr>
              <w:pStyle w:val="ListBullet"/>
            </w:pPr>
            <w:r w:rsidRPr="00776C4A">
              <w:t>gels, such as agarose and polyacrylamide</w:t>
            </w:r>
          </w:p>
          <w:p w:rsidR="00000000" w:rsidRPr="00776C4A" w:rsidP="00776C4A">
            <w:pPr>
              <w:pStyle w:val="ListBullet"/>
            </w:pPr>
            <w:r w:rsidRPr="00776C4A">
              <w:t xml:space="preserve">buffer solutions </w:t>
            </w:r>
          </w:p>
          <w:p w:rsidR="00000000" w:rsidRPr="00776C4A" w:rsidP="00776C4A">
            <w:pPr>
              <w:pStyle w:val="ListBullet"/>
            </w:pPr>
            <w:r w:rsidRPr="00776C4A">
              <w:t>denaturing electrophoresis, such as SDS-PAGE</w:t>
            </w:r>
          </w:p>
          <w:p w:rsidR="00000000" w:rsidRPr="00776C4A" w:rsidP="00776C4A">
            <w:pPr>
              <w:pStyle w:val="ListBullet"/>
            </w:pPr>
            <w:r w:rsidRPr="00776C4A">
              <w:t>blot transfer procedures in conjunction with electrophoresis, such as Western and Southern Blot transfers, agarose and polyacrylamide D</w:t>
            </w:r>
            <w:r w:rsidRPr="00776C4A">
              <w:t>NA gels</w:t>
            </w:r>
          </w:p>
          <w:p w:rsidR="00000000" w:rsidRPr="00776C4A" w:rsidP="00776C4A">
            <w:pPr>
              <w:pStyle w:val="ListBullet"/>
            </w:pPr>
            <w:r w:rsidRPr="00776C4A">
              <w:t>capillary electrophoresis</w:t>
            </w:r>
          </w:p>
          <w:p w:rsidR="00000000" w:rsidP="00776C4A">
            <w:pPr>
              <w:pStyle w:val="BodyText"/>
              <w:rPr>
                <w:lang w:val="en-NZ"/>
              </w:rPr>
            </w:pPr>
          </w:p>
        </w:tc>
      </w:tr>
      <w:tr w:rsidTr="00EA2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rPr>
                <w:rStyle w:val="SpecialBold"/>
              </w:rPr>
              <w:t xml:space="preserve">Tests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4A" w:rsidP="00776C4A">
            <w:pPr>
              <w:pStyle w:val="BodyText"/>
            </w:pPr>
            <w:r w:rsidRPr="00776C4A">
              <w:t>Tests include, but are not limited to, methods for one or more of:</w:t>
            </w:r>
          </w:p>
          <w:p w:rsidR="00000000" w:rsidRPr="00776C4A" w:rsidP="00776C4A">
            <w:pPr>
              <w:pStyle w:val="ListBullet"/>
            </w:pPr>
            <w:r w:rsidRPr="00776C4A">
              <w:t>control of starting materials, in-process materials and finished products (e.g. food and manufacturing)</w:t>
            </w:r>
          </w:p>
          <w:p w:rsidR="00000000" w:rsidRPr="00776C4A" w:rsidP="00776C4A">
            <w:pPr>
              <w:pStyle w:val="ListBullet"/>
            </w:pPr>
            <w:r w:rsidRPr="00776C4A">
              <w:t>therapeutic drug analysis</w:t>
            </w:r>
          </w:p>
          <w:p w:rsidR="00000000" w:rsidRPr="00776C4A" w:rsidP="00776C4A">
            <w:pPr>
              <w:pStyle w:val="ListBullet"/>
            </w:pPr>
            <w:r w:rsidRPr="00776C4A">
              <w:t>forensic testing</w:t>
            </w:r>
          </w:p>
          <w:p w:rsidR="00000000" w:rsidRPr="00776C4A" w:rsidP="00776C4A">
            <w:pPr>
              <w:pStyle w:val="ListBullet"/>
            </w:pPr>
            <w:r w:rsidRPr="00776C4A">
              <w:t>diagnostic pathology tests</w:t>
            </w:r>
          </w:p>
          <w:p w:rsidR="00000000" w:rsidRPr="00776C4A" w:rsidP="00776C4A">
            <w:pPr>
              <w:pStyle w:val="ListBullet"/>
            </w:pPr>
            <w:r w:rsidRPr="00776C4A">
              <w:t>determination of chemical analytes</w:t>
            </w:r>
          </w:p>
          <w:p w:rsidR="00000000" w:rsidRPr="00776C4A" w:rsidP="00776C4A">
            <w:pPr>
              <w:pStyle w:val="ListBullet"/>
            </w:pPr>
            <w:r w:rsidRPr="00776C4A">
              <w:t>special conditions for handling minute sample volumes</w:t>
            </w:r>
          </w:p>
          <w:p w:rsidR="00000000" w:rsidRPr="00776C4A" w:rsidP="00776C4A">
            <w:pPr>
              <w:pStyle w:val="ListBullet"/>
            </w:pPr>
            <w:r w:rsidRPr="00776C4A">
              <w:t>environmental monitoring</w:t>
            </w:r>
          </w:p>
          <w:p w:rsidR="00000000" w:rsidRPr="00776C4A" w:rsidP="00776C4A">
            <w:pPr>
              <w:pStyle w:val="ListBullet"/>
            </w:pPr>
            <w:r w:rsidRPr="00776C4A">
              <w:t>problem-solving techniques for non-routine samples</w:t>
            </w:r>
          </w:p>
          <w:p w:rsidR="00000000" w:rsidRPr="00776C4A" w:rsidP="00776C4A">
            <w:pPr>
              <w:pStyle w:val="ListBullet"/>
            </w:pPr>
            <w:r w:rsidRPr="00776C4A">
              <w:t>troubleshooting workplace processes</w:t>
            </w:r>
          </w:p>
          <w:p w:rsidR="00000000" w:rsidP="00776C4A">
            <w:pPr>
              <w:pStyle w:val="BodyText"/>
              <w:rPr>
                <w:lang w:val="en-NZ"/>
              </w:rPr>
            </w:pPr>
          </w:p>
        </w:tc>
      </w:tr>
      <w:tr w:rsidTr="00EA2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rPr>
                <w:rStyle w:val="SpecialBold"/>
              </w:rPr>
              <w:t>Sample pr</w:t>
            </w:r>
            <w:r w:rsidRPr="00776C4A">
              <w:rPr>
                <w:rStyle w:val="SpecialBold"/>
              </w:rPr>
              <w:t>eparation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4A" w:rsidP="00776C4A">
            <w:pPr>
              <w:pStyle w:val="BodyText"/>
            </w:pPr>
            <w:r w:rsidRPr="00776C4A">
              <w:t>Sample preparation includes one or more of:</w:t>
            </w:r>
          </w:p>
          <w:p w:rsidR="00000000" w:rsidRPr="00776C4A" w:rsidP="00776C4A">
            <w:pPr>
              <w:pStyle w:val="ListBullet"/>
            </w:pPr>
            <w:r w:rsidRPr="00776C4A">
              <w:t>identification of any hazardous properties associated with the samples and/or analytical chemicals</w:t>
            </w:r>
          </w:p>
          <w:p w:rsidR="00000000" w:rsidRPr="00776C4A" w:rsidP="00776C4A">
            <w:pPr>
              <w:pStyle w:val="ListBullet"/>
            </w:pPr>
            <w:r w:rsidRPr="00776C4A">
              <w:t>processes, such as grinding, dissolving, extraction, centrifuging, refluxing, evaporation, washing and</w:t>
            </w:r>
            <w:r w:rsidRPr="00776C4A">
              <w:t xml:space="preserve"> drying</w:t>
            </w:r>
          </w:p>
          <w:p w:rsidR="00000000" w:rsidRPr="00776C4A" w:rsidP="00776C4A">
            <w:pPr>
              <w:pStyle w:val="ListBullet"/>
            </w:pPr>
            <w:r w:rsidRPr="00776C4A">
              <w:t>determination of and, if appropriate, removal of any contaminants, impurities or interfering substances</w:t>
            </w:r>
          </w:p>
          <w:p w:rsidR="00000000" w:rsidP="00776C4A">
            <w:pPr>
              <w:pStyle w:val="BodyText"/>
              <w:rPr>
                <w:lang w:val="en-NZ"/>
              </w:rPr>
            </w:pPr>
          </w:p>
        </w:tc>
      </w:tr>
      <w:tr w:rsidTr="00EA2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rPr>
                <w:rStyle w:val="SpecialBold"/>
              </w:rPr>
              <w:t>Safe work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4A" w:rsidP="00776C4A">
            <w:pPr>
              <w:pStyle w:val="BodyText"/>
            </w:pPr>
            <w:r w:rsidRPr="00776C4A">
              <w:t>Safe work practices include, but are not limited to, one or more of:</w:t>
            </w:r>
          </w:p>
          <w:p w:rsidR="00000000" w:rsidRPr="00776C4A" w:rsidP="00776C4A">
            <w:pPr>
              <w:pStyle w:val="ListBullet"/>
            </w:pPr>
            <w:r w:rsidRPr="00776C4A">
              <w:t>ensuring access to service shut-off points</w:t>
            </w:r>
          </w:p>
          <w:p w:rsidR="00000000" w:rsidRPr="00776C4A" w:rsidP="00776C4A">
            <w:pPr>
              <w:pStyle w:val="ListBullet"/>
            </w:pPr>
            <w:r w:rsidRPr="00776C4A">
              <w:t>recognising and observing hazard warnings and safety signs</w:t>
            </w:r>
          </w:p>
          <w:p w:rsidR="00000000" w:rsidRPr="00776C4A" w:rsidP="00776C4A">
            <w:pPr>
              <w:pStyle w:val="ListBullet"/>
            </w:pPr>
            <w:r w:rsidRPr="00776C4A">
              <w:t>labelling of samples, reagents, aliquoted samples and hazardous materials</w:t>
            </w:r>
          </w:p>
          <w:p w:rsidR="00000000" w:rsidRPr="00776C4A" w:rsidP="00776C4A">
            <w:pPr>
              <w:pStyle w:val="ListBullet"/>
            </w:pPr>
            <w:r w:rsidRPr="00776C4A">
              <w:t>handling and storage of hazardous materials and equipment in accordance with labelling, MSDS and manufacturer instructions</w:t>
            </w:r>
          </w:p>
          <w:p w:rsidR="00000000" w:rsidRPr="00776C4A" w:rsidP="00776C4A">
            <w:pPr>
              <w:pStyle w:val="ListBullet"/>
            </w:pPr>
            <w:r w:rsidRPr="00776C4A">
              <w:t>identifying and reporting operating problems or equipment malfunctions</w:t>
            </w:r>
          </w:p>
          <w:p w:rsidR="00000000" w:rsidRPr="00776C4A" w:rsidP="00776C4A">
            <w:pPr>
              <w:pStyle w:val="ListBullet"/>
            </w:pPr>
            <w:r w:rsidRPr="00776C4A">
              <w:t>cleaning and decontaminating equipment and work areas regularly using workplace procedures</w:t>
            </w:r>
          </w:p>
          <w:p w:rsidR="00000000" w:rsidRPr="00776C4A" w:rsidP="00776C4A">
            <w:pPr>
              <w:pStyle w:val="ListBullet"/>
            </w:pPr>
            <w:r w:rsidRPr="00776C4A">
              <w:t>using PPE, such as gloves, safety glasses, coveralls and gowns</w:t>
            </w:r>
          </w:p>
          <w:p w:rsidR="00000000" w:rsidRPr="00776C4A" w:rsidP="00776C4A">
            <w:pPr>
              <w:pStyle w:val="ListBullet"/>
            </w:pPr>
            <w:r w:rsidRPr="00776C4A">
              <w:t>using containment facilities (e</w:t>
            </w:r>
            <w:r w:rsidRPr="00776C4A">
              <w:t>.g. PCII, PCIII and PCIV physical containment laboratories), containment equipment (e.g. biohazard containers, laminar flow cabinets, Class I, II and III biohazard cabinets) and containment procedures</w:t>
            </w:r>
          </w:p>
          <w:p w:rsidR="00000000" w:rsidRPr="00776C4A" w:rsidP="00776C4A">
            <w:pPr>
              <w:pStyle w:val="ListBullet"/>
            </w:pPr>
            <w:r w:rsidRPr="00776C4A">
              <w:t>following established manual handling procedures</w:t>
            </w:r>
          </w:p>
          <w:p w:rsidR="00000000" w:rsidRPr="00776C4A" w:rsidP="00776C4A">
            <w:pPr>
              <w:pStyle w:val="ListBullet"/>
            </w:pPr>
            <w:r w:rsidRPr="00776C4A">
              <w:t>report</w:t>
            </w:r>
            <w:r w:rsidRPr="00776C4A">
              <w:t>ing abnormal emissions, discharges and airborne contaminants, such as noise, light, solids, liquids, water/wastewater, gases, smoke, vapour, fumes, odour and particulates, to appropriate personnel</w:t>
            </w:r>
          </w:p>
          <w:p w:rsidR="00000000" w:rsidP="00776C4A">
            <w:pPr>
              <w:pStyle w:val="BodyText"/>
              <w:rPr>
                <w:lang w:val="en-NZ"/>
              </w:rPr>
            </w:pPr>
          </w:p>
        </w:tc>
      </w:tr>
      <w:tr w:rsidTr="00EA2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C4A">
            <w:pPr>
              <w:pStyle w:val="BodyText"/>
              <w:rPr>
                <w:lang w:val="en-NZ"/>
              </w:rPr>
            </w:pPr>
            <w:r w:rsidRPr="00776C4A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C4A" w:rsidP="00776C4A">
            <w:pPr>
              <w:pStyle w:val="BodyText"/>
            </w:pPr>
            <w:r w:rsidRPr="00776C4A">
              <w:t>WHS and environmental management requirements:</w:t>
            </w:r>
          </w:p>
          <w:p w:rsidR="00000000" w:rsidRPr="00776C4A" w:rsidP="00776C4A">
            <w:pPr>
              <w:pStyle w:val="BodyText"/>
            </w:pPr>
            <w:r w:rsidRPr="00776C4A">
              <w:rPr>
                <w:rStyle w:val="Symbols"/>
              </w:rPr>
              <w:t></w:t>
            </w:r>
            <w:r w:rsidRPr="00776C4A">
              <w:rPr>
                <w:rStyle w:val="Symbols"/>
              </w:rPr>
              <w:tab/>
            </w:r>
            <w:r w:rsidRPr="00776C4A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776C4A" w:rsidP="00776C4A">
            <w:pPr>
              <w:pStyle w:val="BodyText"/>
            </w:pPr>
            <w:r w:rsidRPr="00776C4A">
              <w:rPr>
                <w:rStyle w:val="Symbols"/>
              </w:rPr>
              <w:t></w:t>
            </w:r>
            <w:r w:rsidRPr="00776C4A">
              <w:rPr>
                <w:rStyle w:val="Symbols"/>
              </w:rPr>
              <w:tab/>
            </w:r>
            <w:r w:rsidRPr="00776C4A">
              <w:t>applying standard precautions relating to the potentially hazardous nature of samples</w:t>
            </w:r>
          </w:p>
          <w:p w:rsidR="00000000" w:rsidRPr="00776C4A" w:rsidP="00776C4A">
            <w:pPr>
              <w:pStyle w:val="ListBullet"/>
            </w:pPr>
            <w:r w:rsidRPr="00776C4A">
              <w:t>accessing and applying current industry understanding of infection control issued by the National Health and Medical Research Council (NHMRC) and State and Territory Dep</w:t>
            </w:r>
            <w:r w:rsidRPr="00776C4A">
              <w:t>artments of Health, where relevant</w:t>
            </w:r>
          </w:p>
        </w:tc>
      </w:tr>
    </w:tbl>
    <w:p w:rsidR="00000000" w:rsidRPr="00776C4A" w:rsidP="00776C4A">
      <w:pPr>
        <w:pStyle w:val="BodyText"/>
      </w:pPr>
    </w:p>
    <w:p w:rsidR="00000000" w:rsidRPr="00776C4A" w:rsidP="00776C4A">
      <w:pPr>
        <w:pStyle w:val="AllowPageBreak"/>
      </w:pPr>
    </w:p>
    <w:p w:rsidR="00000000" w:rsidRPr="00776C4A" w:rsidP="00776C4A">
      <w:pPr>
        <w:pStyle w:val="Heading1"/>
      </w:pPr>
      <w:bookmarkStart w:id="9" w:name="O_901636"/>
      <w:bookmarkEnd w:id="9"/>
      <w:r w:rsidRPr="00776C4A">
        <w:t>Unit Mapping Information</w:t>
      </w:r>
    </w:p>
    <w:p w:rsidR="00000000" w:rsidRPr="00776C4A" w:rsidP="00776C4A">
      <w:pPr>
        <w:pStyle w:val="BodyText"/>
      </w:pPr>
      <w:r w:rsidRPr="00776C4A">
        <w:t>Release 1. Supersedes and is equivalent to MSL975008A Apply electrophoretic techniques</w:t>
      </w:r>
    </w:p>
    <w:p w:rsidR="00000000" w:rsidRPr="00776C4A" w:rsidP="00776C4A">
      <w:pPr>
        <w:pStyle w:val="AllowPageBreak"/>
      </w:pPr>
    </w:p>
    <w:p w:rsidR="00000000" w:rsidRPr="00776C4A" w:rsidP="00776C4A">
      <w:pPr>
        <w:pStyle w:val="Heading1"/>
      </w:pPr>
      <w:bookmarkStart w:id="10" w:name="O_901629"/>
      <w:bookmarkEnd w:id="10"/>
      <w:r w:rsidRPr="00776C4A">
        <w:t>Links</w:t>
      </w:r>
    </w:p>
    <w:p w:rsidR="00000000" w:rsidRPr="00776C4A" w:rsidP="00776C4A">
      <w:pPr>
        <w:pStyle w:val="BodyText"/>
      </w:pPr>
      <w:r w:rsidRPr="00776C4A">
        <w:t>MSA Training Package Implementation Guides - http://mskills.org.au/</w:t>
      </w:r>
      <w:r w:rsidRPr="00776C4A">
        <w:t>training-packages/info/</w:t>
      </w:r>
    </w:p>
    <w:p w:rsidR="00000000" w:rsidRPr="00776C4A" w:rsidP="00776C4A"/>
    <w:sectPr w:rsidSect="00776C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4A" w:rsidRPr="00EA22B4" w:rsidP="00EA22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B4" w:rsidP="00776C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22B4" w:rsidP="00776C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A22B4" w:rsidP="00776C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4A" w:rsidRPr="00EA22B4" w:rsidP="00EA22B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B4" w:rsidRPr="002D2AF8" w:rsidP="00776C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MSL975008 Apply electrophoretic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EA22B4" w:rsidP="00776C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80D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A053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C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C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C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C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C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C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C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C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C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C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C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C4A"/>
  </w:style>
  <w:style w:type="character" w:customStyle="1" w:styleId="Heading1Char">
    <w:name w:val="Heading 1 Char"/>
    <w:basedOn w:val="DefaultParagraphFont"/>
    <w:link w:val="Heading1"/>
    <w:rsid w:val="00776C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C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C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C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C4A"/>
    <w:rPr>
      <w:b/>
      <w:spacing w:val="0"/>
    </w:rPr>
  </w:style>
  <w:style w:type="paragraph" w:customStyle="1" w:styleId="SuperHeading">
    <w:name w:val="SuperHeading"/>
    <w:basedOn w:val="Normal"/>
    <w:rsid w:val="00776C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C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776C4A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776C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C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C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C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C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C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C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C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C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C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C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C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C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C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C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C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C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C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C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6C4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6C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C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C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C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C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C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C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C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C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C4A"/>
    <w:rPr>
      <w:i/>
    </w:rPr>
  </w:style>
  <w:style w:type="paragraph" w:styleId="Caption">
    <w:name w:val="caption"/>
    <w:basedOn w:val="BodyText"/>
    <w:next w:val="Normal"/>
    <w:qFormat/>
    <w:rsid w:val="00776C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C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C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C4A"/>
  </w:style>
  <w:style w:type="paragraph" w:styleId="TableofFigures">
    <w:name w:val="table of figures"/>
    <w:basedOn w:val="Normal"/>
    <w:next w:val="Normal"/>
    <w:semiHidden/>
    <w:rsid w:val="00776C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C4A"/>
    <w:pPr>
      <w:numPr>
        <w:numId w:val="10"/>
      </w:numPr>
    </w:pPr>
  </w:style>
  <w:style w:type="character" w:customStyle="1" w:styleId="WingdingSymbols">
    <w:name w:val="Wingding Symbols"/>
    <w:rsid w:val="00776C4A"/>
    <w:rPr>
      <w:rFonts w:ascii="Wingdings" w:hAnsi="Wingdings"/>
    </w:rPr>
  </w:style>
  <w:style w:type="paragraph" w:customStyle="1" w:styleId="TableHeading">
    <w:name w:val="Table Heading"/>
    <w:basedOn w:val="HeadingBase"/>
    <w:rsid w:val="00776C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C4A"/>
    <w:rPr>
      <w:color w:val="0033CC"/>
      <w:u w:val="none"/>
    </w:rPr>
  </w:style>
  <w:style w:type="paragraph" w:customStyle="1" w:styleId="BodyTextRight">
    <w:name w:val="Body Text Right"/>
    <w:basedOn w:val="BodyText"/>
    <w:rsid w:val="00776C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C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C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C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C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C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C4A"/>
    <w:rPr>
      <w:sz w:val="32"/>
    </w:rPr>
  </w:style>
  <w:style w:type="paragraph" w:customStyle="1" w:styleId="HeadingProcedure">
    <w:name w:val="Heading Procedure"/>
    <w:basedOn w:val="HeadingBase"/>
    <w:next w:val="Normal"/>
    <w:rsid w:val="00776C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C4A"/>
    <w:pPr>
      <w:spacing w:before="60" w:after="60"/>
    </w:pPr>
  </w:style>
  <w:style w:type="paragraph" w:styleId="ListContinue">
    <w:name w:val="List Continue"/>
    <w:basedOn w:val="List"/>
    <w:rsid w:val="00776C4A"/>
    <w:pPr>
      <w:ind w:firstLine="0"/>
    </w:pPr>
  </w:style>
  <w:style w:type="paragraph" w:customStyle="1" w:styleId="ListNote">
    <w:name w:val="List Note"/>
    <w:basedOn w:val="List"/>
    <w:rsid w:val="00776C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C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C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C4A"/>
    <w:rPr>
      <w:rFonts w:ascii="Courier New" w:hAnsi="Courier New"/>
    </w:rPr>
  </w:style>
  <w:style w:type="paragraph" w:customStyle="1" w:styleId="NoteBullet">
    <w:name w:val="Note Bullet"/>
    <w:basedOn w:val="Note"/>
    <w:rsid w:val="00776C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C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C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C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C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6C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C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C4A"/>
    <w:rPr>
      <w:b/>
      <w:smallCaps/>
    </w:rPr>
  </w:style>
  <w:style w:type="paragraph" w:customStyle="1" w:styleId="TableListNumber">
    <w:name w:val="Table List Number"/>
    <w:basedOn w:val="ListNumber"/>
    <w:rsid w:val="00776C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C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C4A"/>
    <w:pPr>
      <w:numPr>
        <w:numId w:val="8"/>
      </w:numPr>
    </w:pPr>
  </w:style>
  <w:style w:type="paragraph" w:customStyle="1" w:styleId="ListAlpha2">
    <w:name w:val="List Alpha 2"/>
    <w:basedOn w:val="List2"/>
    <w:rsid w:val="00776C4A"/>
    <w:pPr>
      <w:numPr>
        <w:numId w:val="7"/>
      </w:numPr>
    </w:pPr>
  </w:style>
  <w:style w:type="paragraph" w:styleId="List2">
    <w:name w:val="List 2"/>
    <w:basedOn w:val="BodyText"/>
    <w:rsid w:val="00776C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C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C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C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C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C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6C4A"/>
    <w:pPr>
      <w:numPr>
        <w:numId w:val="3"/>
      </w:numPr>
    </w:pPr>
  </w:style>
  <w:style w:type="paragraph" w:styleId="ListContinue2">
    <w:name w:val="List Continue 2"/>
    <w:basedOn w:val="List2"/>
    <w:rsid w:val="00776C4A"/>
    <w:pPr>
      <w:ind w:firstLine="0"/>
    </w:pPr>
  </w:style>
  <w:style w:type="paragraph" w:styleId="ListContinue3">
    <w:name w:val="List Continue 3"/>
    <w:basedOn w:val="List3"/>
    <w:rsid w:val="00776C4A"/>
    <w:pPr>
      <w:ind w:left="1021" w:firstLine="0"/>
    </w:pPr>
  </w:style>
  <w:style w:type="paragraph" w:styleId="ListContinue4">
    <w:name w:val="List Continue 4"/>
    <w:basedOn w:val="List4"/>
    <w:rsid w:val="00776C4A"/>
    <w:pPr>
      <w:ind w:firstLine="0"/>
    </w:pPr>
  </w:style>
  <w:style w:type="paragraph" w:styleId="ListContinue5">
    <w:name w:val="List Continue 5"/>
    <w:basedOn w:val="List5"/>
    <w:rsid w:val="00776C4A"/>
    <w:pPr>
      <w:ind w:firstLine="0"/>
    </w:pPr>
  </w:style>
  <w:style w:type="paragraph" w:styleId="ListNumber3">
    <w:name w:val="List Number 3"/>
    <w:basedOn w:val="List3"/>
    <w:rsid w:val="00776C4A"/>
    <w:pPr>
      <w:numPr>
        <w:numId w:val="4"/>
      </w:numPr>
    </w:pPr>
  </w:style>
  <w:style w:type="paragraph" w:styleId="ListNumber4">
    <w:name w:val="List Number 4"/>
    <w:basedOn w:val="List4"/>
    <w:rsid w:val="00776C4A"/>
    <w:pPr>
      <w:numPr>
        <w:numId w:val="5"/>
      </w:numPr>
    </w:pPr>
  </w:style>
  <w:style w:type="paragraph" w:styleId="ListNumber5">
    <w:name w:val="List Number 5"/>
    <w:basedOn w:val="List5"/>
    <w:rsid w:val="00776C4A"/>
    <w:pPr>
      <w:numPr>
        <w:numId w:val="6"/>
      </w:numPr>
    </w:pPr>
  </w:style>
  <w:style w:type="paragraph" w:styleId="BlockText">
    <w:name w:val="Block Text"/>
    <w:basedOn w:val="Normal"/>
    <w:rsid w:val="00776C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C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C4A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776C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C4A"/>
    <w:rPr>
      <w:b/>
    </w:rPr>
  </w:style>
  <w:style w:type="character" w:customStyle="1" w:styleId="Underlined">
    <w:name w:val="Underlined"/>
    <w:basedOn w:val="DefaultParagraphFont"/>
    <w:rsid w:val="00776C4A"/>
    <w:rPr>
      <w:u w:val="single"/>
    </w:rPr>
  </w:style>
  <w:style w:type="paragraph" w:customStyle="1" w:styleId="TableBodyTextRight">
    <w:name w:val="Table Body Text Right"/>
    <w:basedOn w:val="TableBodyText"/>
    <w:rsid w:val="00776C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C4A"/>
    <w:rPr>
      <w:sz w:val="18"/>
    </w:rPr>
  </w:style>
  <w:style w:type="paragraph" w:customStyle="1" w:styleId="BodySmallRight">
    <w:name w:val="Body Small Right"/>
    <w:basedOn w:val="BodyTextRight"/>
    <w:rsid w:val="00776C4A"/>
    <w:rPr>
      <w:sz w:val="18"/>
      <w:szCs w:val="18"/>
    </w:rPr>
  </w:style>
  <w:style w:type="paragraph" w:customStyle="1" w:styleId="MarginEdition">
    <w:name w:val="Margin Edition"/>
    <w:basedOn w:val="MarginNote"/>
    <w:rsid w:val="00776C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C4A"/>
    <w:rPr>
      <w:sz w:val="2"/>
      <w:szCs w:val="2"/>
    </w:rPr>
  </w:style>
  <w:style w:type="character" w:customStyle="1" w:styleId="Small">
    <w:name w:val="Small"/>
    <w:basedOn w:val="DefaultParagraphFont"/>
    <w:rsid w:val="00776C4A"/>
    <w:rPr>
      <w:sz w:val="16"/>
    </w:rPr>
  </w:style>
  <w:style w:type="paragraph" w:customStyle="1" w:styleId="WideTable">
    <w:name w:val="Wide Table"/>
    <w:basedOn w:val="Normal"/>
    <w:rsid w:val="00776C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C4A"/>
  </w:style>
  <w:style w:type="paragraph" w:styleId="Quote">
    <w:name w:val="Quote"/>
    <w:basedOn w:val="Heading1"/>
    <w:link w:val="QuoteChar"/>
    <w:qFormat/>
    <w:rsid w:val="00776C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C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C4A"/>
    <w:pPr>
      <w:pageBreakBefore/>
    </w:pPr>
  </w:style>
  <w:style w:type="paragraph" w:customStyle="1" w:styleId="Border">
    <w:name w:val="Border"/>
    <w:basedOn w:val="Normal"/>
    <w:qFormat/>
    <w:rsid w:val="00776C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C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C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C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C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C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C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C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C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C4A"/>
    <w:rPr>
      <w:u w:val="single"/>
    </w:rPr>
  </w:style>
  <w:style w:type="character" w:customStyle="1" w:styleId="BoldandItalics">
    <w:name w:val="Bold and Italics"/>
    <w:qFormat/>
    <w:rsid w:val="00776C4A"/>
    <w:rPr>
      <w:b/>
      <w:i/>
      <w:u w:val="none"/>
    </w:rPr>
  </w:style>
  <w:style w:type="paragraph" w:styleId="BalloonText">
    <w:name w:val="Balloon Text"/>
    <w:basedOn w:val="Normal"/>
    <w:link w:val="BalloonTextChar"/>
    <w:rsid w:val="00776C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C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C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C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C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C4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1255</Words>
  <Characters>8398</Characters>
  <Application>Microsoft Office Word</Application>
  <DocSecurity>0</DocSecurity>
  <Lines>326</Lines>
  <Paragraphs>153</Paragraphs>
  <ScaleCrop>false</ScaleCrop>
  <Company>Author-it Software Corporation Ltd.</Company>
  <LinksUpToDate>false</LinksUpToDate>
  <CharactersWithSpaces>9544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MSL975008 Apply electrophoretic techniques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2016-03-01T06:16:00Z</dcterms:created>
  <dcterms:modified xsi:type="dcterms:W3CDTF">2016-03-01T06:16:00Z</dcterms:modified>
</cp:coreProperties>
</file>