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352" w:rsidP="00B763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MSL975006 Perform immunohaematological tests</w:t>
      </w:r>
      <w:r>
        <w:fldChar w:fldCharType="end"/>
      </w:r>
    </w:p>
    <w:p w:rsidR="00B76352" w:rsidP="00B76352">
      <w:pPr>
        <w:pStyle w:val="Version"/>
        <w:sectPr w:rsidSect="00E121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2175" w:rsidP="00E12175">
      <w:pPr>
        <w:pStyle w:val="SuperHeading"/>
      </w:pPr>
      <w:r w:rsidRPr="00E12175">
        <w:t>Assessment Requirements for MSL975006 Perform immunohaematological tests</w:t>
      </w:r>
    </w:p>
    <w:p w:rsidR="00000000" w:rsidRPr="00E12175" w:rsidP="00E12175">
      <w:pPr>
        <w:pStyle w:val="Heading1"/>
      </w:pPr>
      <w:bookmarkStart w:id="1" w:name="O_901555"/>
      <w:bookmarkEnd w:id="1"/>
      <w:r w:rsidRPr="00E12175">
        <w:t>Modification History</w:t>
      </w:r>
    </w:p>
    <w:p w:rsidR="00000000" w:rsidRPr="00E12175" w:rsidP="00E12175">
      <w:pPr>
        <w:pStyle w:val="BodyText"/>
      </w:pPr>
      <w:r w:rsidRPr="00E12175">
        <w:t>Release 1. Supersedes and is equivalent to MSL975006A Perform immunohaematological tests</w:t>
      </w:r>
    </w:p>
    <w:p w:rsidR="00000000" w:rsidRPr="00E12175" w:rsidP="00E12175">
      <w:pPr>
        <w:pStyle w:val="AllowPageBreak"/>
      </w:pPr>
    </w:p>
    <w:p w:rsidR="00000000" w:rsidRPr="00E12175" w:rsidP="00E12175">
      <w:pPr>
        <w:pStyle w:val="Heading1"/>
      </w:pPr>
      <w:bookmarkStart w:id="2" w:name="O_901558"/>
      <w:bookmarkEnd w:id="2"/>
      <w:r w:rsidRPr="00E12175">
        <w:t>Performance Evidence</w:t>
      </w:r>
    </w:p>
    <w:p w:rsidR="00000000" w:rsidRPr="00E12175" w:rsidP="00E12175">
      <w:pPr>
        <w:pStyle w:val="BodyText"/>
      </w:pPr>
      <w:r w:rsidRPr="00E12175">
        <w:t>Evidence of competence in this unit must satisfy all of the requirements of the elements and performance criteria, and include demonstration of:</w:t>
      </w:r>
    </w:p>
    <w:p w:rsidR="00000000" w:rsidRPr="00E12175" w:rsidP="00E12175">
      <w:pPr>
        <w:pStyle w:val="ListBullet"/>
      </w:pPr>
      <w:r w:rsidRPr="00E12175">
        <w:t>safely performing at least five (5) immunohaematological tests following the laboratory's validated and author</w:t>
      </w:r>
      <w:r w:rsidRPr="00E12175">
        <w:t>ised procedures</w:t>
      </w:r>
    </w:p>
    <w:p w:rsidR="00000000" w:rsidRPr="00E12175" w:rsidP="00E12175">
      <w:pPr>
        <w:pStyle w:val="ListBullet"/>
      </w:pPr>
      <w:r w:rsidRPr="00E12175">
        <w:t>performing tests accurately and organising work to ensure the timely release of blood and blood products and needs of relevant patients and clients are met</w:t>
      </w:r>
    </w:p>
    <w:p w:rsidR="00000000" w:rsidRPr="00E12175" w:rsidP="00E12175">
      <w:pPr>
        <w:pStyle w:val="ListBullet"/>
      </w:pPr>
      <w:r w:rsidRPr="00E12175">
        <w:t>selecting and performing testing procedures in terms of the suspected or known natur</w:t>
      </w:r>
      <w:r w:rsidRPr="00E12175">
        <w:t>e of the antibody and its possible range of testing behaviours</w:t>
      </w:r>
    </w:p>
    <w:p w:rsidR="00000000" w:rsidRPr="00E12175" w:rsidP="00E12175">
      <w:pPr>
        <w:pStyle w:val="ListBullet"/>
      </w:pPr>
      <w:r w:rsidRPr="00E12175">
        <w:t>detecting and recording accurate evidence of blood group antigen and antibody reactions</w:t>
      </w:r>
    </w:p>
    <w:p w:rsidR="00000000" w:rsidRPr="00E12175" w:rsidP="00E12175">
      <w:pPr>
        <w:pStyle w:val="ListBullet"/>
      </w:pPr>
      <w:r w:rsidRPr="00E12175">
        <w:t xml:space="preserve">selecting, testing and issuing blood cleared for transfusion </w:t>
      </w:r>
    </w:p>
    <w:p w:rsidR="00000000" w:rsidRPr="00E12175" w:rsidP="00E12175">
      <w:pPr>
        <w:pStyle w:val="ListBullet"/>
      </w:pPr>
      <w:r w:rsidRPr="00E12175">
        <w:t xml:space="preserve">selecting and applying confirmatory tests </w:t>
      </w:r>
    </w:p>
    <w:p w:rsidR="00000000" w:rsidRPr="00E12175" w:rsidP="00E12175">
      <w:pPr>
        <w:pStyle w:val="ListBullet"/>
      </w:pPr>
      <w:r w:rsidRPr="00E12175">
        <w:t>selecting and issuing blood products for therapeutic or prophylactic use</w:t>
      </w:r>
    </w:p>
    <w:p w:rsidR="00000000" w:rsidRPr="00E12175" w:rsidP="00E12175">
      <w:pPr>
        <w:pStyle w:val="ListBullet"/>
      </w:pPr>
      <w:r w:rsidRPr="00E12175">
        <w:t>preparing documentation that is accurate, concise and in accordance with workplace requirements</w:t>
      </w:r>
    </w:p>
    <w:p w:rsidR="00000000" w:rsidRPr="00E12175" w:rsidP="00E12175">
      <w:pPr>
        <w:pStyle w:val="ListBullet"/>
      </w:pPr>
      <w:r w:rsidRPr="00E12175">
        <w:t xml:space="preserve">critically analysing information and documents and recognising problems in systems and </w:t>
      </w:r>
      <w:r w:rsidRPr="00E12175">
        <w:t>documentation</w:t>
      </w:r>
    </w:p>
    <w:p w:rsidR="00000000" w:rsidRPr="00E12175" w:rsidP="00E12175">
      <w:pPr>
        <w:pStyle w:val="ListBullet"/>
      </w:pPr>
      <w:r w:rsidRPr="00E12175">
        <w:t>using workplace information systems efficiently</w:t>
      </w:r>
    </w:p>
    <w:p w:rsidR="00000000" w:rsidRPr="00E12175" w:rsidP="00E12175">
      <w:pPr>
        <w:pStyle w:val="ListBullet"/>
      </w:pPr>
      <w:r w:rsidRPr="00E12175">
        <w:t>using samples, reagents and materials economically and disposing of wastes safely</w:t>
      </w:r>
    </w:p>
    <w:p w:rsidR="00000000" w:rsidRPr="00E12175" w:rsidP="00E12175">
      <w:pPr>
        <w:pStyle w:val="ListBullet"/>
      </w:pPr>
      <w:r w:rsidRPr="00E12175">
        <w:t>maintaining security and confidentiality of all clinical information, laboratory data and records</w:t>
      </w:r>
    </w:p>
    <w:p w:rsidR="00000000" w:rsidRPr="00E12175" w:rsidP="00E12175">
      <w:pPr>
        <w:pStyle w:val="ListBullet"/>
      </w:pPr>
      <w:r w:rsidRPr="00E12175">
        <w:t>maintaining eq</w:t>
      </w:r>
      <w:r w:rsidRPr="00E12175">
        <w:t>uipment and recording and reporting malfunctions in accordance with workplace requirements.</w:t>
      </w:r>
    </w:p>
    <w:p w:rsidR="00000000" w:rsidRPr="00E12175" w:rsidP="00E12175">
      <w:pPr>
        <w:pStyle w:val="AllowPageBreak"/>
      </w:pPr>
    </w:p>
    <w:p w:rsidR="00000000" w:rsidRPr="00E12175" w:rsidP="00E12175">
      <w:pPr>
        <w:pStyle w:val="Heading1"/>
      </w:pPr>
      <w:bookmarkStart w:id="3" w:name="O_901557"/>
      <w:bookmarkEnd w:id="3"/>
      <w:r w:rsidRPr="00E12175">
        <w:t>Knowledge Evidence</w:t>
      </w:r>
    </w:p>
    <w:p w:rsidR="00000000" w:rsidRPr="00E12175" w:rsidP="00E12175">
      <w:pPr>
        <w:pStyle w:val="BodyText"/>
      </w:pPr>
      <w:r w:rsidRPr="00E12175">
        <w:t>Must provide evidence that demonstrates knowledge of:</w:t>
      </w:r>
    </w:p>
    <w:p w:rsidR="00000000" w:rsidRPr="00E12175" w:rsidP="00E12175">
      <w:pPr>
        <w:pStyle w:val="ListBullet"/>
      </w:pPr>
      <w:r w:rsidRPr="00E12175">
        <w:t>scientific, medical, clinical, technical and workplace terminology relevant to normal and abnormal anatomy, physiology, biochemistry, immunology and immunohaematology</w:t>
      </w:r>
    </w:p>
    <w:p w:rsidR="00000000" w:rsidRPr="00E12175" w:rsidP="00E12175">
      <w:pPr>
        <w:pStyle w:val="ListBullet"/>
      </w:pPr>
      <w:r w:rsidRPr="00E12175">
        <w:t>antigen antibody reactions</w:t>
      </w:r>
    </w:p>
    <w:p w:rsidR="00000000" w:rsidRPr="00E12175" w:rsidP="00E12175">
      <w:pPr>
        <w:pStyle w:val="ListBullet"/>
      </w:pPr>
      <w:r w:rsidRPr="00E12175">
        <w:t>testing procedures for the determination of blood groups and t</w:t>
      </w:r>
      <w:r w:rsidRPr="00E12175">
        <w:t>he detection of antibodies</w:t>
      </w:r>
    </w:p>
    <w:p w:rsidR="00000000" w:rsidRPr="00E12175" w:rsidP="00E12175">
      <w:pPr>
        <w:pStyle w:val="ListBullet"/>
      </w:pPr>
      <w:r w:rsidRPr="00E12175">
        <w:t>types of blood products and their use</w:t>
      </w:r>
    </w:p>
    <w:p w:rsidR="00000000" w:rsidRPr="00E12175" w:rsidP="00E12175">
      <w:pPr>
        <w:pStyle w:val="ListBullet"/>
      </w:pPr>
      <w:r w:rsidRPr="00E12175">
        <w:t>validated and authorised procedures, as described in the laboratory's manual of procedures</w:t>
      </w:r>
    </w:p>
    <w:p w:rsidR="00000000" w:rsidRPr="00E12175" w:rsidP="00E12175">
      <w:pPr>
        <w:pStyle w:val="ListBullet"/>
      </w:pPr>
      <w:r w:rsidRPr="00E12175">
        <w:t>work health and safety (WHS) and environment requirements.</w:t>
      </w:r>
    </w:p>
    <w:p w:rsidR="00000000" w:rsidRPr="00E12175" w:rsidP="00E12175">
      <w:pPr>
        <w:pStyle w:val="AllowPageBreak"/>
      </w:pPr>
    </w:p>
    <w:p w:rsidR="00000000" w:rsidRPr="00E12175" w:rsidP="00E12175">
      <w:pPr>
        <w:pStyle w:val="Heading1"/>
      </w:pPr>
      <w:bookmarkStart w:id="4" w:name="O_901556"/>
      <w:bookmarkEnd w:id="4"/>
      <w:r w:rsidRPr="00E12175">
        <w:t>Assessment Conditions</w:t>
      </w:r>
    </w:p>
    <w:p w:rsidR="00000000" w:rsidRPr="00E12175" w:rsidP="00E12175">
      <w:pPr>
        <w:pStyle w:val="ListBullet"/>
      </w:pPr>
      <w:r w:rsidRPr="00E12175">
        <w:t>J</w:t>
      </w:r>
      <w:r w:rsidRPr="00E12175">
        <w:t xml:space="preserve">udgment of competence must be based on holistic assessment of the evidence. Assessment methods must confirm consistency of performance over time, rather than a single assessment event. </w:t>
      </w:r>
    </w:p>
    <w:p w:rsidR="00000000" w:rsidRPr="00E12175" w:rsidP="00E12175">
      <w:pPr>
        <w:pStyle w:val="ListBullet"/>
      </w:pPr>
      <w:r w:rsidRPr="00E12175">
        <w:t>This unit of competency is to be assessed in the workplace or a simula</w:t>
      </w:r>
      <w:r w:rsidRPr="00E12175">
        <w:t>ted workplace environment. A simulated workplace environment must reflect realistic operational workplace conditions that cover all aspects of workplace performance, including the environment, task skills, task management skills, contingency management ski</w:t>
      </w:r>
      <w:r w:rsidRPr="00E12175">
        <w:t xml:space="preserve">lls and job role environment skills.  </w:t>
      </w:r>
    </w:p>
    <w:p w:rsidR="00000000" w:rsidRPr="00E12175" w:rsidP="00E12175">
      <w:pPr>
        <w:pStyle w:val="ListBullet"/>
      </w:pPr>
      <w:r w:rsidRPr="00E12175">
        <w:t xml:space="preserve">Foundation skills are integral to competent performance of the unit and should not be assessed separately. </w:t>
      </w:r>
    </w:p>
    <w:p w:rsidR="00000000" w:rsidRPr="00E12175" w:rsidP="00E12175">
      <w:pPr>
        <w:pStyle w:val="ListBullet"/>
      </w:pPr>
      <w:r w:rsidRPr="00E12175">
        <w:t>Assessment processes and techniques must be appropriate to the language, literacy and numeracy requirements o</w:t>
      </w:r>
      <w:r w:rsidRPr="00E12175">
        <w:t>f the work being performed and the needs of the candidate.</w:t>
      </w:r>
    </w:p>
    <w:p w:rsidR="00000000" w:rsidRPr="00E12175" w:rsidP="00E12175">
      <w:pPr>
        <w:pStyle w:val="ListBullet"/>
      </w:pPr>
      <w:r w:rsidRPr="00E12175">
        <w:t>Knowledge evidence may be collected concurrently with performance evidence or through an independent process, such as workbooks, written assessments or interviews (provided a record is kept in each</w:t>
      </w:r>
      <w:r w:rsidRPr="00E12175">
        <w:t xml:space="preserve"> case).</w:t>
      </w:r>
    </w:p>
    <w:p w:rsidR="00000000" w:rsidRPr="00E12175" w:rsidP="00E12175">
      <w:pPr>
        <w:pStyle w:val="ListBullet"/>
      </w:pPr>
      <w:r w:rsidRPr="00E12175">
        <w:t xml:space="preserve">This unit of competency may be assessed with: </w:t>
      </w:r>
    </w:p>
    <w:p w:rsidR="00000000" w:rsidRPr="00E12175" w:rsidP="00E12175">
      <w:pPr>
        <w:pStyle w:val="ListBullet2"/>
      </w:pPr>
      <w:r w:rsidRPr="00E12175">
        <w:t>MSL934002 Apply quality system and continuous improvement processes</w:t>
      </w:r>
    </w:p>
    <w:p w:rsidR="00000000" w:rsidRPr="00E12175" w:rsidP="00E12175">
      <w:pPr>
        <w:pStyle w:val="ListBullet2"/>
      </w:pPr>
      <w:r w:rsidRPr="00E12175">
        <w:t>MSL975002 Perform haematological tests</w:t>
      </w:r>
    </w:p>
    <w:p w:rsidR="00000000" w:rsidRPr="00E12175" w:rsidP="00E12175">
      <w:pPr>
        <w:pStyle w:val="ListBullet"/>
      </w:pPr>
      <w:r w:rsidRPr="00E12175">
        <w:t>Holistic assessment methods include:</w:t>
      </w:r>
    </w:p>
    <w:p w:rsidR="00000000" w:rsidRPr="00E12175" w:rsidP="00E12175">
      <w:pPr>
        <w:pStyle w:val="ListBullet2"/>
      </w:pPr>
      <w:r w:rsidRPr="00E12175">
        <w:t>review of results/data/</w:t>
      </w:r>
      <w:r w:rsidRPr="00E12175">
        <w:t>records generated by the candidate</w:t>
      </w:r>
    </w:p>
    <w:p w:rsidR="00000000" w:rsidRPr="00E12175" w:rsidP="00E12175">
      <w:pPr>
        <w:pStyle w:val="ListBullet2"/>
      </w:pPr>
      <w:r w:rsidRPr="00E12175">
        <w:t xml:space="preserve">feedback from peers and supervisors that the candidate follows workplace procedures consistently and that tasks are performed in accordance with workplace requirements </w:t>
      </w:r>
    </w:p>
    <w:p w:rsidR="00000000" w:rsidRPr="00E12175" w:rsidP="00E12175">
      <w:pPr>
        <w:pStyle w:val="ListBullet2"/>
      </w:pPr>
      <w:r w:rsidRPr="00E12175">
        <w:t xml:space="preserve">oral and/or written tests associated with ABO group </w:t>
      </w:r>
      <w:r w:rsidRPr="00E12175">
        <w:t>determination, antibody identification and record keeping</w:t>
      </w:r>
    </w:p>
    <w:p w:rsidR="00000000" w:rsidRPr="00E12175" w:rsidP="00E12175">
      <w:pPr>
        <w:pStyle w:val="ListBullet2"/>
      </w:pPr>
      <w:r w:rsidRPr="00E12175">
        <w:t xml:space="preserve">integrated assessment with a case study focus, such as the routine pre-transfusion cross-match, an antenatal antibody detection and preliminary identification, batch of routine ABO and Rh(D) groups </w:t>
      </w:r>
      <w:r w:rsidRPr="00E12175">
        <w:t>to be completed at the same time as completion of a pre-transfusion battery of tests</w:t>
      </w:r>
    </w:p>
    <w:p w:rsidR="00000000" w:rsidRPr="00E12175" w:rsidP="00E12175">
      <w:pPr>
        <w:pStyle w:val="ListBullet2"/>
      </w:pPr>
      <w:r w:rsidRPr="00E12175">
        <w:t>observation of the candidate performing immunohaematological tests.</w:t>
      </w:r>
    </w:p>
    <w:p w:rsidR="00000000" w:rsidRPr="00E12175" w:rsidP="00E12175">
      <w:pPr>
        <w:pStyle w:val="ListBullet"/>
      </w:pPr>
      <w:r w:rsidRPr="00E12175">
        <w:t>Access is required to instruments, equipment, materials, workplace documentation, procedures and speci</w:t>
      </w:r>
      <w:r w:rsidRPr="00E12175">
        <w:t>fications associated with this unit, including, but not limited to:</w:t>
      </w:r>
    </w:p>
    <w:p w:rsidR="00000000" w:rsidRPr="00E12175" w:rsidP="00E12175">
      <w:pPr>
        <w:pStyle w:val="ListBullet2"/>
      </w:pPr>
      <w:r w:rsidRPr="00E12175">
        <w:t>a standard transfusion/immunohaematology laboratory with relevant equipment, samples, reagents, laboratory information management system, databases and record/filing system</w:t>
      </w:r>
    </w:p>
    <w:p w:rsidR="00000000" w:rsidRPr="00E12175" w:rsidP="00E12175">
      <w:pPr>
        <w:pStyle w:val="ListBullet2"/>
      </w:pPr>
      <w:r w:rsidRPr="00E12175">
        <w:t>workplace proc</w:t>
      </w:r>
      <w:r w:rsidRPr="00E12175">
        <w:t>edures, test methods and equipment manuals.</w:t>
      </w:r>
    </w:p>
    <w:p w:rsidR="00000000" w:rsidRPr="00E12175" w:rsidP="00E12175">
      <w:pPr>
        <w:pStyle w:val="ListBullet"/>
      </w:pPr>
      <w:r w:rsidRPr="00E12175">
        <w:t xml:space="preserve">Under duty of care requirements, off-the-job training providers must ensure that blood samples are known to be antibody free for hepatitis B and C, syphilis and human immunodeficiency virus (HIV), but this does </w:t>
      </w:r>
      <w:r w:rsidRPr="00E12175">
        <w:t>not preclude the use of universal precautions in the use of blood samples.</w:t>
      </w:r>
    </w:p>
    <w:p w:rsidR="00000000" w:rsidRPr="00E12175" w:rsidP="00E12175">
      <w:pPr>
        <w:pStyle w:val="ListBullet"/>
      </w:pPr>
      <w:r w:rsidRPr="00E12175">
        <w:t xml:space="preserve">Assessors must satisfy the assessor competency requirements that are in place at the time of the assessment as set by the VET regulator.  </w:t>
      </w:r>
    </w:p>
    <w:p w:rsidR="00000000" w:rsidRPr="00E12175" w:rsidP="00E12175">
      <w:pPr>
        <w:pStyle w:val="ListBullet"/>
      </w:pPr>
      <w:r w:rsidRPr="00E12175">
        <w:t>The assessor must demonstrate both technic</w:t>
      </w:r>
      <w:r w:rsidRPr="00E12175">
        <w:t>al competence and currency.</w:t>
      </w:r>
    </w:p>
    <w:p w:rsidR="00000000" w:rsidRPr="00E12175" w:rsidP="00E12175">
      <w:pPr>
        <w:pStyle w:val="ListBullet"/>
      </w:pPr>
      <w:r w:rsidRPr="00E12175">
        <w:t>Technical competence can be demonstrated through:</w:t>
      </w:r>
    </w:p>
    <w:p w:rsidR="00000000" w:rsidRPr="00E12175" w:rsidP="00E12175">
      <w:pPr>
        <w:pStyle w:val="ListBullet2"/>
      </w:pPr>
      <w:r w:rsidRPr="00E12175">
        <w:t>relevant VET or other qualification/Statement of Attainment AND/OR</w:t>
      </w:r>
    </w:p>
    <w:p w:rsidR="00000000" w:rsidRPr="00E12175" w:rsidP="00E12175">
      <w:pPr>
        <w:pStyle w:val="ListBullet2"/>
      </w:pPr>
      <w:r w:rsidRPr="00E12175">
        <w:t>relevant workplace experience.</w:t>
      </w:r>
    </w:p>
    <w:p w:rsidR="00000000" w:rsidRPr="00E12175" w:rsidP="00E12175">
      <w:pPr>
        <w:pStyle w:val="ListBullet"/>
      </w:pPr>
      <w:r w:rsidRPr="00E12175">
        <w:t>Currency can be demonstrated through:</w:t>
      </w:r>
    </w:p>
    <w:p w:rsidR="00000000" w:rsidRPr="00E12175" w:rsidP="00E12175">
      <w:pPr>
        <w:pStyle w:val="ListBullet2"/>
      </w:pPr>
      <w:r w:rsidRPr="00E12175">
        <w:t>performing the competency being assessed as part of current employment OR</w:t>
      </w:r>
    </w:p>
    <w:p w:rsidR="00000000" w:rsidRPr="00E12175" w:rsidP="00E12175">
      <w:pPr>
        <w:pStyle w:val="ListBullet2"/>
      </w:pPr>
      <w:r w:rsidRPr="00E12175">
        <w:t>having consulted with a laboratory about performing the competency being assessed within the last twelve months.</w:t>
      </w:r>
    </w:p>
    <w:p w:rsidR="00000000" w:rsidRPr="00E12175" w:rsidP="00E12175">
      <w:pPr>
        <w:pStyle w:val="AllowPageBreak"/>
      </w:pPr>
    </w:p>
    <w:p w:rsidR="00000000" w:rsidRPr="00E12175" w:rsidP="00E12175">
      <w:pPr>
        <w:pStyle w:val="Heading1"/>
      </w:pPr>
      <w:bookmarkStart w:id="5" w:name="O_901554"/>
      <w:bookmarkEnd w:id="5"/>
      <w:r w:rsidRPr="00E12175">
        <w:t>Links</w:t>
      </w:r>
    </w:p>
    <w:p w:rsidR="00000000" w:rsidRPr="00E12175" w:rsidP="00E12175">
      <w:pPr>
        <w:pStyle w:val="BodyText"/>
      </w:pPr>
      <w:r w:rsidRPr="00E12175">
        <w:t>MSA Training Package Implementation Guides - h</w:t>
      </w:r>
      <w:r w:rsidRPr="00E12175">
        <w:t>ttp://mskills.org.au/training-packages/info/</w:t>
      </w:r>
    </w:p>
    <w:p w:rsidR="00000000" w:rsidRPr="00E12175" w:rsidP="00E12175"/>
    <w:sectPr w:rsidSect="00E121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75" w:rsidRPr="00B76352" w:rsidP="00B763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352" w:rsidP="00E121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6352" w:rsidP="00E121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76352" w:rsidP="00E121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75" w:rsidRPr="00B76352" w:rsidP="00B7635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352" w:rsidRPr="002D2AF8" w:rsidP="00E121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MSL975006 Perform immunohaematological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B76352" w:rsidP="00E121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D450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A62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6C8B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1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1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1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1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1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1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1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1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1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1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175"/>
  </w:style>
  <w:style w:type="character" w:customStyle="1" w:styleId="Heading1Char">
    <w:name w:val="Heading 1 Char"/>
    <w:basedOn w:val="DefaultParagraphFont"/>
    <w:link w:val="Heading1"/>
    <w:rsid w:val="00E121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1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1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217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21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21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1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21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1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1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1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1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1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1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1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1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1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1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1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1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1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1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21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2175"/>
    <w:rPr>
      <w:b/>
      <w:spacing w:val="0"/>
    </w:rPr>
  </w:style>
  <w:style w:type="paragraph" w:customStyle="1" w:styleId="SuperTitle">
    <w:name w:val="SuperTitle"/>
    <w:basedOn w:val="Title"/>
    <w:rsid w:val="00E121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1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1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21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1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1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1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1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1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1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1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1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2175"/>
    <w:rPr>
      <w:i/>
    </w:rPr>
  </w:style>
  <w:style w:type="paragraph" w:styleId="Caption">
    <w:name w:val="caption"/>
    <w:basedOn w:val="BodyText"/>
    <w:next w:val="Normal"/>
    <w:qFormat/>
    <w:rsid w:val="00E121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1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1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175"/>
  </w:style>
  <w:style w:type="paragraph" w:styleId="TableofFigures">
    <w:name w:val="table of figures"/>
    <w:basedOn w:val="Normal"/>
    <w:next w:val="Normal"/>
    <w:semiHidden/>
    <w:rsid w:val="00E121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175"/>
    <w:pPr>
      <w:numPr>
        <w:numId w:val="11"/>
      </w:numPr>
    </w:pPr>
  </w:style>
  <w:style w:type="character" w:customStyle="1" w:styleId="WingdingSymbols">
    <w:name w:val="Wingding Symbols"/>
    <w:rsid w:val="00E12175"/>
    <w:rPr>
      <w:rFonts w:ascii="Wingdings" w:hAnsi="Wingdings"/>
    </w:rPr>
  </w:style>
  <w:style w:type="paragraph" w:customStyle="1" w:styleId="TableHeading">
    <w:name w:val="Table Heading"/>
    <w:basedOn w:val="HeadingBase"/>
    <w:rsid w:val="00E121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175"/>
    <w:rPr>
      <w:color w:val="0033CC"/>
      <w:u w:val="none"/>
    </w:rPr>
  </w:style>
  <w:style w:type="paragraph" w:customStyle="1" w:styleId="BodyTextRight">
    <w:name w:val="Body Text Right"/>
    <w:basedOn w:val="BodyText"/>
    <w:rsid w:val="00E121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1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1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1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1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1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175"/>
    <w:rPr>
      <w:sz w:val="32"/>
    </w:rPr>
  </w:style>
  <w:style w:type="paragraph" w:customStyle="1" w:styleId="HeadingProcedure">
    <w:name w:val="Heading Procedure"/>
    <w:basedOn w:val="HeadingBase"/>
    <w:next w:val="Normal"/>
    <w:rsid w:val="00E121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175"/>
    <w:pPr>
      <w:spacing w:before="60" w:after="60"/>
    </w:pPr>
  </w:style>
  <w:style w:type="paragraph" w:styleId="ListContinue">
    <w:name w:val="List Continue"/>
    <w:basedOn w:val="List"/>
    <w:rsid w:val="00E12175"/>
    <w:pPr>
      <w:ind w:firstLine="0"/>
    </w:pPr>
  </w:style>
  <w:style w:type="paragraph" w:customStyle="1" w:styleId="ListNote">
    <w:name w:val="List Note"/>
    <w:basedOn w:val="List"/>
    <w:rsid w:val="00E121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1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1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175"/>
    <w:rPr>
      <w:rFonts w:ascii="Courier New" w:hAnsi="Courier New"/>
    </w:rPr>
  </w:style>
  <w:style w:type="paragraph" w:customStyle="1" w:styleId="NoteBullet">
    <w:name w:val="Note Bullet"/>
    <w:basedOn w:val="Note"/>
    <w:rsid w:val="00E121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1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1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1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1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121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1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175"/>
    <w:rPr>
      <w:b/>
      <w:smallCaps/>
    </w:rPr>
  </w:style>
  <w:style w:type="paragraph" w:customStyle="1" w:styleId="TableListNumber">
    <w:name w:val="Table List Number"/>
    <w:basedOn w:val="ListNumber"/>
    <w:rsid w:val="00E121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1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175"/>
    <w:pPr>
      <w:numPr>
        <w:numId w:val="9"/>
      </w:numPr>
    </w:pPr>
  </w:style>
  <w:style w:type="paragraph" w:customStyle="1" w:styleId="ListAlpha2">
    <w:name w:val="List Alpha 2"/>
    <w:basedOn w:val="List2"/>
    <w:rsid w:val="00E12175"/>
    <w:pPr>
      <w:numPr>
        <w:numId w:val="8"/>
      </w:numPr>
    </w:pPr>
  </w:style>
  <w:style w:type="paragraph" w:styleId="List2">
    <w:name w:val="List 2"/>
    <w:basedOn w:val="BodyText"/>
    <w:rsid w:val="00E121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1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1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1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17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1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2175"/>
    <w:pPr>
      <w:numPr>
        <w:numId w:val="4"/>
      </w:numPr>
    </w:pPr>
  </w:style>
  <w:style w:type="paragraph" w:styleId="ListContinue2">
    <w:name w:val="List Continue 2"/>
    <w:basedOn w:val="List2"/>
    <w:rsid w:val="00E12175"/>
    <w:pPr>
      <w:ind w:firstLine="0"/>
    </w:pPr>
  </w:style>
  <w:style w:type="paragraph" w:styleId="ListContinue3">
    <w:name w:val="List Continue 3"/>
    <w:basedOn w:val="List3"/>
    <w:rsid w:val="00E12175"/>
    <w:pPr>
      <w:ind w:left="1021" w:firstLine="0"/>
    </w:pPr>
  </w:style>
  <w:style w:type="paragraph" w:styleId="ListContinue4">
    <w:name w:val="List Continue 4"/>
    <w:basedOn w:val="List4"/>
    <w:rsid w:val="00E12175"/>
    <w:pPr>
      <w:ind w:firstLine="0"/>
    </w:pPr>
  </w:style>
  <w:style w:type="paragraph" w:styleId="ListContinue5">
    <w:name w:val="List Continue 5"/>
    <w:basedOn w:val="List5"/>
    <w:rsid w:val="00E12175"/>
    <w:pPr>
      <w:ind w:firstLine="0"/>
    </w:pPr>
  </w:style>
  <w:style w:type="paragraph" w:styleId="ListNumber3">
    <w:name w:val="List Number 3"/>
    <w:basedOn w:val="List3"/>
    <w:rsid w:val="00E12175"/>
    <w:pPr>
      <w:numPr>
        <w:numId w:val="5"/>
      </w:numPr>
    </w:pPr>
  </w:style>
  <w:style w:type="paragraph" w:styleId="ListNumber4">
    <w:name w:val="List Number 4"/>
    <w:basedOn w:val="List4"/>
    <w:rsid w:val="00E12175"/>
    <w:pPr>
      <w:numPr>
        <w:numId w:val="6"/>
      </w:numPr>
    </w:pPr>
  </w:style>
  <w:style w:type="paragraph" w:styleId="ListNumber5">
    <w:name w:val="List Number 5"/>
    <w:basedOn w:val="List5"/>
    <w:rsid w:val="00E12175"/>
    <w:pPr>
      <w:numPr>
        <w:numId w:val="7"/>
      </w:numPr>
    </w:pPr>
  </w:style>
  <w:style w:type="paragraph" w:styleId="BlockText">
    <w:name w:val="Block Text"/>
    <w:basedOn w:val="Normal"/>
    <w:rsid w:val="00E121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1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175"/>
    <w:rPr>
      <w:sz w:val="16"/>
      <w:vertAlign w:val="superscript"/>
    </w:rPr>
  </w:style>
  <w:style w:type="character" w:customStyle="1" w:styleId="Symbols">
    <w:name w:val="Symbols"/>
    <w:basedOn w:val="DefaultParagraphFont"/>
    <w:rsid w:val="00E12175"/>
    <w:rPr>
      <w:rFonts w:ascii="Symbol" w:hAnsi="Symbol"/>
    </w:rPr>
  </w:style>
  <w:style w:type="character" w:customStyle="1" w:styleId="MenuOptions">
    <w:name w:val="Menu Options"/>
    <w:basedOn w:val="DefaultParagraphFont"/>
    <w:rsid w:val="00E121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175"/>
    <w:rPr>
      <w:b/>
    </w:rPr>
  </w:style>
  <w:style w:type="character" w:customStyle="1" w:styleId="Underlined">
    <w:name w:val="Underlined"/>
    <w:basedOn w:val="DefaultParagraphFont"/>
    <w:rsid w:val="00E12175"/>
    <w:rPr>
      <w:u w:val="single"/>
    </w:rPr>
  </w:style>
  <w:style w:type="paragraph" w:customStyle="1" w:styleId="TableBodyTextRight">
    <w:name w:val="Table Body Text Right"/>
    <w:basedOn w:val="TableBodyText"/>
    <w:rsid w:val="00E121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175"/>
    <w:rPr>
      <w:sz w:val="18"/>
    </w:rPr>
  </w:style>
  <w:style w:type="paragraph" w:customStyle="1" w:styleId="BodySmallRight">
    <w:name w:val="Body Small Right"/>
    <w:basedOn w:val="BodyTextRight"/>
    <w:rsid w:val="00E12175"/>
    <w:rPr>
      <w:sz w:val="18"/>
      <w:szCs w:val="18"/>
    </w:rPr>
  </w:style>
  <w:style w:type="paragraph" w:customStyle="1" w:styleId="MarginEdition">
    <w:name w:val="Margin Edition"/>
    <w:basedOn w:val="MarginNote"/>
    <w:rsid w:val="00E121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175"/>
    <w:rPr>
      <w:sz w:val="2"/>
      <w:szCs w:val="2"/>
    </w:rPr>
  </w:style>
  <w:style w:type="character" w:customStyle="1" w:styleId="Small">
    <w:name w:val="Small"/>
    <w:basedOn w:val="DefaultParagraphFont"/>
    <w:rsid w:val="00E12175"/>
    <w:rPr>
      <w:sz w:val="16"/>
    </w:rPr>
  </w:style>
  <w:style w:type="paragraph" w:customStyle="1" w:styleId="WideTable">
    <w:name w:val="Wide Table"/>
    <w:basedOn w:val="Normal"/>
    <w:rsid w:val="00E121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175"/>
  </w:style>
  <w:style w:type="paragraph" w:styleId="Quote">
    <w:name w:val="Quote"/>
    <w:basedOn w:val="Heading1"/>
    <w:link w:val="QuoteChar"/>
    <w:qFormat/>
    <w:rsid w:val="00E121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1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175"/>
    <w:pPr>
      <w:pageBreakBefore/>
    </w:pPr>
  </w:style>
  <w:style w:type="paragraph" w:customStyle="1" w:styleId="Border">
    <w:name w:val="Border"/>
    <w:basedOn w:val="Normal"/>
    <w:qFormat/>
    <w:rsid w:val="00E121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1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1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1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1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1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1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1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1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175"/>
    <w:rPr>
      <w:u w:val="single"/>
    </w:rPr>
  </w:style>
  <w:style w:type="character" w:customStyle="1" w:styleId="BoldandItalics">
    <w:name w:val="Bold and Italics"/>
    <w:qFormat/>
    <w:rsid w:val="00E12175"/>
    <w:rPr>
      <w:b/>
      <w:i/>
      <w:u w:val="none"/>
    </w:rPr>
  </w:style>
  <w:style w:type="paragraph" w:styleId="BalloonText">
    <w:name w:val="Balloon Text"/>
    <w:basedOn w:val="Normal"/>
    <w:link w:val="BalloonTextChar"/>
    <w:rsid w:val="00E121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1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1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1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1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1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4809</Characters>
  <Application>Microsoft Office Word</Application>
  <DocSecurity>0</DocSecurity>
  <Lines>97</Lines>
  <Paragraphs>57</Paragraphs>
  <ScaleCrop>false</ScaleCrop>
  <Company>Author-it Software Corporation Ltd.</Company>
  <LinksUpToDate>false</LinksUpToDate>
  <CharactersWithSpaces>5535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MSL975006 Perform immunohaematological tests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2016-03-01T06:26:00Z</dcterms:created>
  <dcterms:modified xsi:type="dcterms:W3CDTF">2016-03-01T06:26:00Z</dcterms:modified>
</cp:coreProperties>
</file>