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73F" w:rsidP="00842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MSL975005 Conduct sensory analysis</w:t>
      </w:r>
      <w:r>
        <w:fldChar w:fldCharType="end"/>
      </w:r>
    </w:p>
    <w:p w:rsidR="0084273F" w:rsidP="0084273F">
      <w:pPr>
        <w:pStyle w:val="Version"/>
        <w:sectPr w:rsidSect="00E60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EF1" w:rsidP="00E60EF1">
      <w:pPr>
        <w:pStyle w:val="SuperHeading"/>
      </w:pPr>
      <w:r w:rsidRPr="00E60EF1">
        <w:t>MSL975005 Conduct sensory analysis</w:t>
      </w:r>
    </w:p>
    <w:p w:rsidR="00000000" w:rsidRPr="00E60EF1" w:rsidP="00E60EF1">
      <w:pPr>
        <w:pStyle w:val="Heading1"/>
      </w:pPr>
      <w:bookmarkStart w:id="1" w:name="O_901521"/>
      <w:bookmarkEnd w:id="1"/>
      <w:r w:rsidRPr="00E60EF1">
        <w:t>Modification History</w:t>
      </w:r>
    </w:p>
    <w:p w:rsidR="00000000" w:rsidRPr="00E60EF1" w:rsidP="00E60EF1">
      <w:pPr>
        <w:pStyle w:val="BodyText"/>
      </w:pPr>
      <w:r w:rsidRPr="00E60EF1">
        <w:t>Release 1. Supersedes and is equivalent to MSL975005A Conduct sensory analysis</w:t>
      </w: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2" w:name="O_901529"/>
      <w:bookmarkEnd w:id="2"/>
      <w:r w:rsidRPr="00E60EF1">
        <w:t>Application</w:t>
      </w:r>
    </w:p>
    <w:p w:rsidR="00000000" w:rsidRPr="00E60EF1" w:rsidP="00E60EF1">
      <w:pPr>
        <w:pStyle w:val="BodyText"/>
      </w:pPr>
      <w:r w:rsidRPr="00E60EF1">
        <w:t>This unit of competency covers the ability to set up and coordinate sensory analysis and assess the results obtained from a rou</w:t>
      </w:r>
      <w:r w:rsidRPr="00E60EF1">
        <w:t>tine sensory analysis.</w:t>
      </w:r>
    </w:p>
    <w:p w:rsidR="00000000" w:rsidRPr="00E60EF1" w:rsidP="00E60EF1">
      <w:pPr>
        <w:pStyle w:val="BodyText"/>
      </w:pPr>
    </w:p>
    <w:p w:rsidR="00000000" w:rsidRPr="00E60EF1" w:rsidP="00E60EF1">
      <w:pPr>
        <w:pStyle w:val="BodyText"/>
      </w:pPr>
      <w:r w:rsidRPr="00E60EF1">
        <w:t>This unit of competency is applicable to laboratory technicians and technical officers working in the food industry. Although a supervisor may not always be present, the technician will follow standard operating procedures (SOPs) th</w:t>
      </w:r>
      <w:r w:rsidRPr="00E60EF1">
        <w:t>at will clearly describe the scope of permitted practice in modifying testing procedures and for communicating results to people outside of the laboratory.</w:t>
      </w:r>
    </w:p>
    <w:p w:rsidR="00000000" w:rsidRPr="00E60EF1" w:rsidP="00E60EF1">
      <w:pPr>
        <w:pStyle w:val="BodyText"/>
      </w:pPr>
    </w:p>
    <w:p w:rsidR="00000000" w:rsidRPr="00E60EF1" w:rsidP="00E60EF1">
      <w:pPr>
        <w:pStyle w:val="BodyText"/>
      </w:pPr>
      <w:r w:rsidRPr="00E60EF1">
        <w:t>While no specific licensing or certification requirements apply to this unit at the time of publica</w:t>
      </w:r>
      <w:r w:rsidRPr="00E60EF1">
        <w:t>tion, laboratory operations are governed by relevant legislation, regulations and/or external accreditation requirements. Local requirements should be checked.</w:t>
      </w: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3" w:name="O_901528"/>
      <w:bookmarkEnd w:id="3"/>
      <w:r w:rsidRPr="00E60EF1">
        <w:t>Pre-requisite Unit</w:t>
      </w:r>
    </w:p>
    <w:p w:rsidR="00000000" w:rsidRPr="00E60EF1" w:rsidP="00E60EF1">
      <w:pPr>
        <w:pStyle w:val="BodyText"/>
      </w:pPr>
      <w:r w:rsidRPr="00E60EF1">
        <w:t>Nil</w:t>
      </w: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4" w:name="O_901527"/>
      <w:bookmarkEnd w:id="4"/>
      <w:r w:rsidRPr="00E60EF1">
        <w:t>Competency Field</w:t>
      </w:r>
    </w:p>
    <w:p w:rsidR="00000000" w:rsidRPr="00E60EF1" w:rsidP="00E60EF1">
      <w:pPr>
        <w:pStyle w:val="BodyText"/>
      </w:pPr>
      <w:r w:rsidRPr="00E60EF1">
        <w:t>Testing</w:t>
      </w: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5" w:name="O_901526"/>
      <w:bookmarkEnd w:id="5"/>
      <w:r w:rsidRPr="00E60EF1">
        <w:t>Unit Sector</w:t>
      </w:r>
    </w:p>
    <w:p w:rsidR="00000000" w:rsidRPr="00E60EF1" w:rsidP="00E60EF1">
      <w:pPr>
        <w:pStyle w:val="Heading1"/>
      </w:pPr>
      <w:bookmarkStart w:id="6" w:name="O_901525"/>
      <w:bookmarkEnd w:id="6"/>
      <w:r w:rsidRPr="00E60E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Performance criteria describe the performance needed to demonstrate achievement of the element.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>Select panellists/individuals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Perform initial screening of potential panellists/individuals based on the testing brief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Use information to select suitable people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 xml:space="preserve">Analyse and report the results used to establish a panel 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>Prepare panellists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Prepare panellists for sensory analysis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Conduct any training required to detect test characteristics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Instruct panellists on recording and reporting requirements of test data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>Prepare samples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Prepare reference samples to be used for the sensory analysis specification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Prepare evaluation samples to sensory analysis specification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Apply food safety procedures in the preparation and presentation of samples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Identify and report on any defects or abnormalities in samples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>Conduct routine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Select appropriate test materials for the information required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Ensure tests are conducted according to workplace procedures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 xml:space="preserve">Analyse data 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Report on process and results in accordance with workplace procedures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>Evaluate and 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Assess the possible effects of group attributes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Review reliability of results for group bias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Complete all relevant documentation and present findings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Use established work practices to ensure personal safety and that of other personnel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 xml:space="preserve">Minimise the generation of waste and environmental </w:t>
            </w:r>
            <w:r w:rsidRPr="00E60EF1">
              <w:t>impacts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Ensure the safe collection of laboratory waste for subsequent disposal</w:t>
            </w:r>
          </w:p>
        </w:tc>
      </w:tr>
      <w:tr w:rsidTr="00E6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Care for and store equipment and reagents as required</w:t>
            </w:r>
          </w:p>
        </w:tc>
      </w:tr>
    </w:tbl>
    <w:p w:rsidR="00000000" w:rsidRPr="00E60EF1" w:rsidP="00E60EF1">
      <w:pPr>
        <w:pStyle w:val="BodyText"/>
      </w:pP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7" w:name="O_901524"/>
      <w:bookmarkEnd w:id="7"/>
      <w:r w:rsidRPr="00E60EF1">
        <w:t>Foundation Skills</w:t>
      </w:r>
    </w:p>
    <w:p w:rsidR="00000000" w:rsidRPr="00E60EF1" w:rsidP="00E60EF1">
      <w:pPr>
        <w:pStyle w:val="BodyText"/>
      </w:pPr>
      <w:r w:rsidRPr="00E60EF1">
        <w:t>This section describes those language, literacy, numeracy and employment skills that are essential to performance.</w:t>
      </w:r>
    </w:p>
    <w:p w:rsidR="00000000" w:rsidRPr="00E60EF1" w:rsidP="00E60EF1">
      <w:pPr>
        <w:pStyle w:val="BodyText"/>
      </w:pPr>
    </w:p>
    <w:p w:rsidR="00000000" w:rsidRPr="00E60EF1" w:rsidP="00E60EF1">
      <w:pPr>
        <w:pStyle w:val="BodyText"/>
      </w:pPr>
      <w:r w:rsidRPr="00E60EF1">
        <w:t>Foundation skills essential to performance are ex</w:t>
      </w:r>
      <w:r w:rsidRPr="00E60EF1">
        <w:t>plicit in the performance criteria of this unit of competency.</w:t>
      </w: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8" w:name="O_901523"/>
      <w:bookmarkEnd w:id="8"/>
      <w:r w:rsidRPr="00E60EF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t xml:space="preserve">This field allows for different work environments and conditions that may affect performance. Essential operating conditions that may be present (depending </w:t>
            </w:r>
            <w:r w:rsidRPr="00E60EF1">
              <w:t>on the work situation, needs of the candidate, accessibility of the item, and local industry and regional contexts) are included.</w:t>
            </w:r>
          </w:p>
        </w:tc>
      </w:tr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Standards, codes, procedures and/or workplace requirements include the latest version of one or more of:</w:t>
            </w:r>
          </w:p>
          <w:p w:rsidR="00000000" w:rsidRPr="00E60EF1" w:rsidP="00E60EF1">
            <w:pPr>
              <w:pStyle w:val="ListBullet"/>
            </w:pPr>
            <w:r w:rsidRPr="00E60EF1">
              <w:t>Australian and international standards covering the requirements for the competence of testing and calibration laboratories, laboratory safety and qua</w:t>
            </w:r>
            <w:r w:rsidRPr="00E60EF1">
              <w:t>lity management</w:t>
            </w:r>
          </w:p>
          <w:p w:rsidR="00000000" w:rsidRPr="00E60EF1" w:rsidP="00E60EF1">
            <w:pPr>
              <w:pStyle w:val="ListBullet"/>
            </w:pPr>
            <w:r w:rsidRPr="00E60EF1">
              <w:t>national work health and safety (WHS) standards and codes of practice, and national measurement regulations and guidelines</w:t>
            </w:r>
          </w:p>
          <w:p w:rsidR="00000000" w:rsidRPr="00E60EF1" w:rsidP="00E60EF1">
            <w:pPr>
              <w:pStyle w:val="ListBullet"/>
            </w:pPr>
            <w:r w:rsidRPr="00E60EF1">
              <w:t>industry-specific Australian Standards covering sensory analysis, assessing odour and taint, and assessing modificati</w:t>
            </w:r>
            <w:r w:rsidRPr="00E60EF1">
              <w:t>ons to the flavour of foodstuffs due to packaging</w:t>
            </w:r>
          </w:p>
          <w:p w:rsidR="00000000" w:rsidRPr="00E60EF1" w:rsidP="00E60EF1">
            <w:pPr>
              <w:pStyle w:val="ListBullet"/>
            </w:pPr>
            <w:r w:rsidRPr="00E60EF1">
              <w:t>workplace documents, such as SOPs; quality and equipment manuals; calibration and maintenance schedules; material safety data sheets (MSDS) and safety procedures; material, production and product specificat</w:t>
            </w:r>
            <w:r w:rsidRPr="00E60EF1">
              <w:t>ions; production and laboratory schedules; workplace recording and reporting procedures; and waste minimisation and safe disposal procedures</w:t>
            </w:r>
          </w:p>
          <w:p w:rsidR="00000000" w:rsidRPr="00E60EF1" w:rsidP="00E60EF1">
            <w:pPr>
              <w:pStyle w:val="ListBullet"/>
            </w:pPr>
            <w:r w:rsidRPr="00E60EF1">
              <w:t>sampling plans and procedures (labelling, preparation, storage, transport and disposal)</w:t>
            </w:r>
          </w:p>
          <w:p w:rsidR="00000000" w:rsidRPr="00E60EF1" w:rsidP="00E60EF1">
            <w:pPr>
              <w:pStyle w:val="ListBullet"/>
            </w:pPr>
            <w:r w:rsidRPr="00E60EF1">
              <w:t xml:space="preserve">test procedures (validated </w:t>
            </w:r>
            <w:r w:rsidRPr="00E60EF1">
              <w:t>and authorised), and sensory analysis criteria</w:t>
            </w:r>
          </w:p>
          <w:p w:rsidR="00000000" w:rsidP="00E60EF1">
            <w:pPr>
              <w:pStyle w:val="BodyText"/>
              <w:rPr>
                <w:lang w:val="en-NZ"/>
              </w:rPr>
            </w:pPr>
          </w:p>
        </w:tc>
      </w:tr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 xml:space="preserve">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Samples include one or more of:</w:t>
            </w:r>
          </w:p>
          <w:p w:rsidR="00000000" w:rsidRPr="00E60EF1" w:rsidP="00E60EF1">
            <w:pPr>
              <w:pStyle w:val="ListBullet"/>
            </w:pPr>
            <w:r w:rsidRPr="00E60EF1">
              <w:t>raw materials, ingredients, final products, packaging materials, and materials which come in contact with the product</w:t>
            </w:r>
          </w:p>
          <w:p w:rsidR="00000000" w:rsidRPr="00E60EF1" w:rsidP="00E60EF1">
            <w:pPr>
              <w:pStyle w:val="ListBullet"/>
            </w:pPr>
            <w:r w:rsidRPr="00E60EF1">
              <w:t>materials at stages of production</w:t>
            </w:r>
          </w:p>
          <w:p w:rsidR="00000000" w:rsidRPr="00E60EF1" w:rsidP="00E60EF1">
            <w:pPr>
              <w:pStyle w:val="ListBullet"/>
            </w:pPr>
            <w:r w:rsidRPr="00E60EF1">
              <w:t>process aids and adjuncts</w:t>
            </w:r>
          </w:p>
          <w:p w:rsidR="00000000" w:rsidP="00E60EF1">
            <w:pPr>
              <w:pStyle w:val="BodyText"/>
              <w:rPr>
                <w:lang w:val="en-NZ"/>
              </w:rPr>
            </w:pPr>
          </w:p>
        </w:tc>
      </w:tr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Tests are performed to:</w:t>
            </w:r>
          </w:p>
          <w:p w:rsidR="00000000" w:rsidRPr="00E60EF1" w:rsidP="00E60EF1">
            <w:pPr>
              <w:pStyle w:val="ListBullet"/>
            </w:pPr>
            <w:r w:rsidRPr="00E60EF1">
              <w:t>determine sample appearance, texture, aroma and flavour</w:t>
            </w:r>
          </w:p>
          <w:p w:rsidR="00000000" w:rsidP="00E60EF1">
            <w:pPr>
              <w:pStyle w:val="BodyText"/>
              <w:rPr>
                <w:lang w:val="en-NZ"/>
              </w:rPr>
            </w:pPr>
          </w:p>
        </w:tc>
      </w:tr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 xml:space="preserve">Testing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Testing methods include, but are not limited to, one or more of:</w:t>
            </w:r>
          </w:p>
          <w:p w:rsidR="00000000" w:rsidRPr="00E60EF1" w:rsidP="00E60EF1">
            <w:pPr>
              <w:pStyle w:val="ListBullet"/>
            </w:pPr>
            <w:r w:rsidRPr="00E60EF1">
              <w:t>triangular test, duo-trio test, ranking test, paired co</w:t>
            </w:r>
            <w:r w:rsidRPr="00E60EF1">
              <w:t>mparison test and blending test</w:t>
            </w:r>
          </w:p>
          <w:p w:rsidR="00000000" w:rsidRPr="00E60EF1" w:rsidP="00E60EF1">
            <w:pPr>
              <w:pStyle w:val="ListBullet"/>
            </w:pPr>
            <w:r w:rsidRPr="00E60EF1">
              <w:t>flavour profile</w:t>
            </w:r>
          </w:p>
          <w:p w:rsidR="00000000" w:rsidRPr="00E60EF1" w:rsidP="00E60EF1">
            <w:pPr>
              <w:pStyle w:val="ListBullet"/>
            </w:pPr>
            <w:r w:rsidRPr="00E60EF1">
              <w:t>threshold analysis</w:t>
            </w:r>
          </w:p>
          <w:p w:rsidR="00000000" w:rsidRPr="00E60EF1" w:rsidP="00E60EF1">
            <w:pPr>
              <w:pStyle w:val="ListBullet"/>
            </w:pPr>
            <w:r w:rsidRPr="00E60EF1">
              <w:t>discriminative testing, descriptive testing and affective testing</w:t>
            </w:r>
          </w:p>
          <w:p w:rsidR="00000000" w:rsidP="00E60EF1">
            <w:pPr>
              <w:pStyle w:val="BodyText"/>
              <w:rPr>
                <w:lang w:val="en-NZ"/>
              </w:rPr>
            </w:pPr>
          </w:p>
        </w:tc>
      </w:tr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 xml:space="preserve">The results obtained from the sensory analysis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The results obtained from the sensory analysis are applied to one or more of:</w:t>
            </w:r>
          </w:p>
          <w:p w:rsidR="00000000" w:rsidRPr="00E60EF1" w:rsidP="00E60EF1">
            <w:pPr>
              <w:pStyle w:val="ListBullet"/>
            </w:pPr>
            <w:r w:rsidRPr="00E60EF1">
              <w:t>marketing studies</w:t>
            </w:r>
          </w:p>
          <w:p w:rsidR="00000000" w:rsidRPr="00E60EF1" w:rsidP="00E60EF1">
            <w:pPr>
              <w:pStyle w:val="ListBullet"/>
            </w:pPr>
            <w:r w:rsidRPr="00E60EF1">
              <w:t>purchasing requirements</w:t>
            </w:r>
          </w:p>
          <w:p w:rsidR="00000000" w:rsidRPr="00E60EF1" w:rsidP="00E60EF1">
            <w:pPr>
              <w:pStyle w:val="ListBullet"/>
            </w:pPr>
            <w:r w:rsidRPr="00E60EF1">
              <w:t>quality assurance at various stages of production</w:t>
            </w:r>
          </w:p>
          <w:p w:rsidR="00000000" w:rsidRPr="00E60EF1" w:rsidP="00E60EF1">
            <w:pPr>
              <w:pStyle w:val="ListBullet"/>
            </w:pPr>
            <w:r w:rsidRPr="00E60EF1">
              <w:t>quality control and troubleshooting</w:t>
            </w:r>
          </w:p>
          <w:p w:rsidR="00000000" w:rsidRPr="00E60EF1" w:rsidP="00E60EF1">
            <w:pPr>
              <w:pStyle w:val="ListBullet"/>
            </w:pPr>
            <w:r w:rsidRPr="00E60EF1">
              <w:t>research and development of new products</w:t>
            </w:r>
          </w:p>
          <w:p w:rsidR="00000000" w:rsidRPr="00E60EF1" w:rsidP="00E60EF1">
            <w:pPr>
              <w:pStyle w:val="ListBullet"/>
            </w:pPr>
            <w:r w:rsidRPr="00E60EF1">
              <w:t>customer</w:t>
            </w:r>
            <w:r w:rsidRPr="00E60EF1">
              <w:t xml:space="preserve"> returns</w:t>
            </w:r>
          </w:p>
          <w:p w:rsidR="00000000" w:rsidRPr="00E60EF1" w:rsidP="00E60EF1">
            <w:pPr>
              <w:pStyle w:val="ListBullet"/>
            </w:pPr>
            <w:r w:rsidRPr="00E60EF1">
              <w:t>product recalls</w:t>
            </w:r>
          </w:p>
          <w:p w:rsidR="00000000" w:rsidP="00E60EF1">
            <w:pPr>
              <w:pStyle w:val="BodyText"/>
              <w:rPr>
                <w:lang w:val="en-NZ"/>
              </w:rPr>
            </w:pPr>
          </w:p>
        </w:tc>
      </w:tr>
      <w:tr w:rsidTr="00842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F1">
            <w:pPr>
              <w:pStyle w:val="BodyText"/>
              <w:rPr>
                <w:lang w:val="en-NZ"/>
              </w:rPr>
            </w:pPr>
            <w:r w:rsidRPr="00E60EF1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F1" w:rsidP="00E60EF1">
            <w:pPr>
              <w:pStyle w:val="BodyText"/>
            </w:pPr>
            <w:r w:rsidRPr="00E60EF1">
              <w:t>WHS and environmental management requirements include:</w:t>
            </w:r>
          </w:p>
          <w:p w:rsidR="00000000" w:rsidRPr="00E60EF1" w:rsidP="00E60EF1">
            <w:pPr>
              <w:pStyle w:val="BodyText"/>
            </w:pPr>
            <w:r w:rsidRPr="00E60EF1">
              <w:rPr>
                <w:rStyle w:val="Symbols"/>
              </w:rPr>
              <w:t></w:t>
            </w:r>
            <w:r w:rsidRPr="00E60EF1">
              <w:rPr>
                <w:rStyle w:val="Symbols"/>
              </w:rPr>
              <w:tab/>
            </w:r>
            <w:r w:rsidRPr="00E60EF1">
              <w:t>complying with WHS and environm</w:t>
            </w:r>
            <w:r w:rsidRPr="00E60EF1">
              <w:t>ental management requirements at all times, which may be imposed through state/territory or federal legislation. These requirements must not be compromised at any time</w:t>
            </w:r>
          </w:p>
          <w:p w:rsidR="00000000" w:rsidRPr="00E60EF1" w:rsidP="00E60EF1">
            <w:pPr>
              <w:pStyle w:val="BodyText"/>
            </w:pPr>
            <w:r w:rsidRPr="00E60EF1">
              <w:rPr>
                <w:rStyle w:val="Symbols"/>
              </w:rPr>
              <w:t></w:t>
            </w:r>
            <w:r w:rsidRPr="00E60EF1">
              <w:rPr>
                <w:rStyle w:val="Symbols"/>
              </w:rPr>
              <w:tab/>
            </w:r>
            <w:r w:rsidRPr="00E60EF1">
              <w:t>applying standard precautions relating to the potentially hazardous nature of samples</w:t>
            </w:r>
          </w:p>
          <w:p w:rsidR="00000000" w:rsidRPr="00E60EF1" w:rsidP="00E60EF1">
            <w:pPr>
              <w:pStyle w:val="ListBullet"/>
            </w:pPr>
            <w:r w:rsidRPr="00E60EF1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E60EF1" w:rsidP="00E60EF1">
      <w:pPr>
        <w:pStyle w:val="BodyText"/>
      </w:pP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9" w:name="O_901522"/>
      <w:bookmarkEnd w:id="9"/>
      <w:r w:rsidRPr="00E60EF1">
        <w:t>Unit Mapping Information</w:t>
      </w:r>
    </w:p>
    <w:p w:rsidR="00000000" w:rsidRPr="00E60EF1" w:rsidP="00E60EF1">
      <w:pPr>
        <w:pStyle w:val="BodyText"/>
      </w:pPr>
      <w:r w:rsidRPr="00E60EF1">
        <w:t>Release 1. Supersedes and is equivalent to MSL975005A Conduct sensory analysis</w:t>
      </w:r>
    </w:p>
    <w:p w:rsidR="00000000" w:rsidRPr="00E60EF1" w:rsidP="00E60EF1">
      <w:pPr>
        <w:pStyle w:val="AllowPageBreak"/>
      </w:pPr>
    </w:p>
    <w:p w:rsidR="00000000" w:rsidRPr="00E60EF1" w:rsidP="00E60EF1">
      <w:pPr>
        <w:pStyle w:val="Heading1"/>
      </w:pPr>
      <w:bookmarkStart w:id="10" w:name="O_901515"/>
      <w:bookmarkEnd w:id="10"/>
      <w:r w:rsidRPr="00E60EF1">
        <w:t>Links</w:t>
      </w:r>
    </w:p>
    <w:p w:rsidR="00000000" w:rsidRPr="00E60EF1" w:rsidP="00E60EF1">
      <w:pPr>
        <w:pStyle w:val="BodyText"/>
      </w:pPr>
      <w:r w:rsidRPr="00E60EF1">
        <w:t>MSA Training Package Implementation Guides - http://mskills.org.au/training-packages/info/</w:t>
      </w:r>
    </w:p>
    <w:p w:rsidR="00000000" w:rsidRPr="00E60EF1" w:rsidP="00E60EF1"/>
    <w:sectPr w:rsidSect="00E60E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F1" w:rsidRPr="0084273F" w:rsidP="00842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3F" w:rsidP="00E60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73F" w:rsidP="00E60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4273F" w:rsidP="00E60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F1" w:rsidRPr="0084273F" w:rsidP="008427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3F" w:rsidRPr="002D2AF8" w:rsidP="00E60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MSL975005 Conduct sensory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84273F" w:rsidP="00E60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F64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63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EF1"/>
  </w:style>
  <w:style w:type="character" w:customStyle="1" w:styleId="Heading1Char">
    <w:name w:val="Heading 1 Char"/>
    <w:basedOn w:val="DefaultParagraphFont"/>
    <w:link w:val="Heading1"/>
    <w:rsid w:val="00E60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E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E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E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EF1"/>
    <w:rPr>
      <w:b/>
      <w:spacing w:val="0"/>
    </w:rPr>
  </w:style>
  <w:style w:type="paragraph" w:customStyle="1" w:styleId="SuperHeading">
    <w:name w:val="SuperHeading"/>
    <w:basedOn w:val="Normal"/>
    <w:rsid w:val="00E60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60EF1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E60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E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E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E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EF1"/>
    <w:rPr>
      <w:i/>
    </w:rPr>
  </w:style>
  <w:style w:type="paragraph" w:styleId="Caption">
    <w:name w:val="caption"/>
    <w:basedOn w:val="BodyText"/>
    <w:next w:val="Normal"/>
    <w:qFormat/>
    <w:rsid w:val="00E60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EF1"/>
  </w:style>
  <w:style w:type="paragraph" w:styleId="TableofFigures">
    <w:name w:val="table of figures"/>
    <w:basedOn w:val="Normal"/>
    <w:next w:val="Normal"/>
    <w:semiHidden/>
    <w:rsid w:val="00E60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EF1"/>
    <w:pPr>
      <w:numPr>
        <w:numId w:val="10"/>
      </w:numPr>
    </w:pPr>
  </w:style>
  <w:style w:type="character" w:customStyle="1" w:styleId="WingdingSymbols">
    <w:name w:val="Wingding Symbols"/>
    <w:rsid w:val="00E60EF1"/>
    <w:rPr>
      <w:rFonts w:ascii="Wingdings" w:hAnsi="Wingdings"/>
    </w:rPr>
  </w:style>
  <w:style w:type="paragraph" w:customStyle="1" w:styleId="TableHeading">
    <w:name w:val="Table Heading"/>
    <w:basedOn w:val="HeadingBase"/>
    <w:rsid w:val="00E60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EF1"/>
    <w:rPr>
      <w:color w:val="0033CC"/>
      <w:u w:val="none"/>
    </w:rPr>
  </w:style>
  <w:style w:type="paragraph" w:customStyle="1" w:styleId="BodyTextRight">
    <w:name w:val="Body Text Right"/>
    <w:basedOn w:val="BodyText"/>
    <w:rsid w:val="00E60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E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EF1"/>
    <w:rPr>
      <w:sz w:val="32"/>
    </w:rPr>
  </w:style>
  <w:style w:type="paragraph" w:customStyle="1" w:styleId="HeadingProcedure">
    <w:name w:val="Heading Procedure"/>
    <w:basedOn w:val="HeadingBase"/>
    <w:next w:val="Normal"/>
    <w:rsid w:val="00E60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EF1"/>
    <w:pPr>
      <w:spacing w:before="60" w:after="60"/>
    </w:pPr>
  </w:style>
  <w:style w:type="paragraph" w:styleId="ListContinue">
    <w:name w:val="List Continue"/>
    <w:basedOn w:val="List"/>
    <w:rsid w:val="00E60EF1"/>
    <w:pPr>
      <w:ind w:firstLine="0"/>
    </w:pPr>
  </w:style>
  <w:style w:type="paragraph" w:customStyle="1" w:styleId="ListNote">
    <w:name w:val="List Note"/>
    <w:basedOn w:val="List"/>
    <w:rsid w:val="00E60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EF1"/>
    <w:rPr>
      <w:rFonts w:ascii="Courier New" w:hAnsi="Courier New"/>
    </w:rPr>
  </w:style>
  <w:style w:type="paragraph" w:customStyle="1" w:styleId="NoteBullet">
    <w:name w:val="Note Bullet"/>
    <w:basedOn w:val="Note"/>
    <w:rsid w:val="00E60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E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EF1"/>
    <w:rPr>
      <w:b/>
      <w:smallCaps/>
    </w:rPr>
  </w:style>
  <w:style w:type="paragraph" w:customStyle="1" w:styleId="TableListNumber">
    <w:name w:val="Table List Number"/>
    <w:basedOn w:val="ListNumber"/>
    <w:rsid w:val="00E60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EF1"/>
    <w:pPr>
      <w:numPr>
        <w:numId w:val="8"/>
      </w:numPr>
    </w:pPr>
  </w:style>
  <w:style w:type="paragraph" w:customStyle="1" w:styleId="ListAlpha2">
    <w:name w:val="List Alpha 2"/>
    <w:basedOn w:val="List2"/>
    <w:rsid w:val="00E60EF1"/>
    <w:pPr>
      <w:numPr>
        <w:numId w:val="7"/>
      </w:numPr>
    </w:pPr>
  </w:style>
  <w:style w:type="paragraph" w:styleId="List2">
    <w:name w:val="List 2"/>
    <w:basedOn w:val="BodyText"/>
    <w:rsid w:val="00E60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E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E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EF1"/>
    <w:pPr>
      <w:numPr>
        <w:numId w:val="3"/>
      </w:numPr>
    </w:pPr>
  </w:style>
  <w:style w:type="paragraph" w:styleId="ListContinue2">
    <w:name w:val="List Continue 2"/>
    <w:basedOn w:val="List2"/>
    <w:rsid w:val="00E60EF1"/>
    <w:pPr>
      <w:ind w:firstLine="0"/>
    </w:pPr>
  </w:style>
  <w:style w:type="paragraph" w:styleId="ListContinue3">
    <w:name w:val="List Continue 3"/>
    <w:basedOn w:val="List3"/>
    <w:rsid w:val="00E60EF1"/>
    <w:pPr>
      <w:ind w:left="1021" w:firstLine="0"/>
    </w:pPr>
  </w:style>
  <w:style w:type="paragraph" w:styleId="ListContinue4">
    <w:name w:val="List Continue 4"/>
    <w:basedOn w:val="List4"/>
    <w:rsid w:val="00E60EF1"/>
    <w:pPr>
      <w:ind w:firstLine="0"/>
    </w:pPr>
  </w:style>
  <w:style w:type="paragraph" w:styleId="ListContinue5">
    <w:name w:val="List Continue 5"/>
    <w:basedOn w:val="List5"/>
    <w:rsid w:val="00E60EF1"/>
    <w:pPr>
      <w:ind w:firstLine="0"/>
    </w:pPr>
  </w:style>
  <w:style w:type="paragraph" w:styleId="ListNumber3">
    <w:name w:val="List Number 3"/>
    <w:basedOn w:val="List3"/>
    <w:rsid w:val="00E60EF1"/>
    <w:pPr>
      <w:numPr>
        <w:numId w:val="4"/>
      </w:numPr>
    </w:pPr>
  </w:style>
  <w:style w:type="paragraph" w:styleId="ListNumber4">
    <w:name w:val="List Number 4"/>
    <w:basedOn w:val="List4"/>
    <w:rsid w:val="00E60EF1"/>
    <w:pPr>
      <w:numPr>
        <w:numId w:val="5"/>
      </w:numPr>
    </w:pPr>
  </w:style>
  <w:style w:type="paragraph" w:styleId="ListNumber5">
    <w:name w:val="List Number 5"/>
    <w:basedOn w:val="List5"/>
    <w:rsid w:val="00E60EF1"/>
    <w:pPr>
      <w:numPr>
        <w:numId w:val="6"/>
      </w:numPr>
    </w:pPr>
  </w:style>
  <w:style w:type="paragraph" w:styleId="BlockText">
    <w:name w:val="Block Text"/>
    <w:basedOn w:val="Normal"/>
    <w:rsid w:val="00E60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EF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60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EF1"/>
    <w:rPr>
      <w:b/>
    </w:rPr>
  </w:style>
  <w:style w:type="character" w:customStyle="1" w:styleId="Underlined">
    <w:name w:val="Underlined"/>
    <w:basedOn w:val="DefaultParagraphFont"/>
    <w:rsid w:val="00E60EF1"/>
    <w:rPr>
      <w:u w:val="single"/>
    </w:rPr>
  </w:style>
  <w:style w:type="paragraph" w:customStyle="1" w:styleId="TableBodyTextRight">
    <w:name w:val="Table Body Text Right"/>
    <w:basedOn w:val="TableBodyText"/>
    <w:rsid w:val="00E60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EF1"/>
    <w:rPr>
      <w:sz w:val="18"/>
    </w:rPr>
  </w:style>
  <w:style w:type="paragraph" w:customStyle="1" w:styleId="BodySmallRight">
    <w:name w:val="Body Small Right"/>
    <w:basedOn w:val="BodyTextRight"/>
    <w:rsid w:val="00E60EF1"/>
    <w:rPr>
      <w:sz w:val="18"/>
      <w:szCs w:val="18"/>
    </w:rPr>
  </w:style>
  <w:style w:type="paragraph" w:customStyle="1" w:styleId="MarginEdition">
    <w:name w:val="Margin Edition"/>
    <w:basedOn w:val="MarginNote"/>
    <w:rsid w:val="00E60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EF1"/>
    <w:rPr>
      <w:sz w:val="2"/>
      <w:szCs w:val="2"/>
    </w:rPr>
  </w:style>
  <w:style w:type="character" w:customStyle="1" w:styleId="Small">
    <w:name w:val="Small"/>
    <w:basedOn w:val="DefaultParagraphFont"/>
    <w:rsid w:val="00E60EF1"/>
    <w:rPr>
      <w:sz w:val="16"/>
    </w:rPr>
  </w:style>
  <w:style w:type="paragraph" w:customStyle="1" w:styleId="WideTable">
    <w:name w:val="Wide Table"/>
    <w:basedOn w:val="Normal"/>
    <w:rsid w:val="00E60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EF1"/>
  </w:style>
  <w:style w:type="paragraph" w:styleId="Quote">
    <w:name w:val="Quote"/>
    <w:basedOn w:val="Heading1"/>
    <w:link w:val="QuoteChar"/>
    <w:qFormat/>
    <w:rsid w:val="00E60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EF1"/>
    <w:pPr>
      <w:pageBreakBefore/>
    </w:pPr>
  </w:style>
  <w:style w:type="paragraph" w:customStyle="1" w:styleId="Border">
    <w:name w:val="Border"/>
    <w:basedOn w:val="Normal"/>
    <w:qFormat/>
    <w:rsid w:val="00E60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EF1"/>
    <w:rPr>
      <w:u w:val="single"/>
    </w:rPr>
  </w:style>
  <w:style w:type="character" w:customStyle="1" w:styleId="BoldandItalics">
    <w:name w:val="Bold and Italics"/>
    <w:qFormat/>
    <w:rsid w:val="00E60EF1"/>
    <w:rPr>
      <w:b/>
      <w:i/>
      <w:u w:val="none"/>
    </w:rPr>
  </w:style>
  <w:style w:type="paragraph" w:styleId="BalloonText">
    <w:name w:val="Balloon Text"/>
    <w:basedOn w:val="Normal"/>
    <w:link w:val="BalloonTextChar"/>
    <w:rsid w:val="00E60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E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E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5357</Characters>
  <Application>Microsoft Office Word</Application>
  <DocSecurity>0</DocSecurity>
  <Lines>237</Lines>
  <Paragraphs>116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MSL975005 Conduct sensory analysis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2016-03-01T06:32:00Z</dcterms:created>
  <dcterms:modified xsi:type="dcterms:W3CDTF">2016-03-01T06:32:00Z</dcterms:modified>
</cp:coreProperties>
</file>