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52E" w:rsidP="007D75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MSL975005 Conduct sensory analysis</w:t>
      </w:r>
      <w:r>
        <w:fldChar w:fldCharType="end"/>
      </w:r>
    </w:p>
    <w:p w:rsidR="007D752E" w:rsidP="007D752E">
      <w:pPr>
        <w:pStyle w:val="Version"/>
        <w:sectPr w:rsidSect="00FB43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31C" w:rsidP="00FB431C">
      <w:pPr>
        <w:pStyle w:val="SuperHeading"/>
      </w:pPr>
      <w:r w:rsidRPr="00FB431C">
        <w:t>MSL975005 Conduct sensory analysis</w:t>
      </w:r>
    </w:p>
    <w:p w:rsidR="00000000" w:rsidRPr="00FB431C" w:rsidP="00FB431C">
      <w:pPr>
        <w:pStyle w:val="Heading1"/>
      </w:pPr>
      <w:bookmarkStart w:id="1" w:name="O_901521"/>
      <w:bookmarkEnd w:id="1"/>
      <w:r w:rsidRPr="00FB431C">
        <w:t>Modification History</w:t>
      </w:r>
    </w:p>
    <w:p w:rsidR="00000000" w:rsidRPr="00FB431C" w:rsidP="007D752E">
      <w:pPr>
        <w:pStyle w:val="BodyText"/>
      </w:pPr>
      <w:r w:rsidRPr="00FB431C">
        <w:t>Release 1. Supersedes and is equivalent to MSL975005A Conduct sensory analysis</w:t>
      </w:r>
    </w:p>
    <w:p w:rsidR="00000000" w:rsidRPr="00FB431C" w:rsidP="00FB431C">
      <w:pPr>
        <w:pStyle w:val="Heading1"/>
      </w:pPr>
      <w:bookmarkStart w:id="2" w:name="O_901529"/>
      <w:bookmarkEnd w:id="2"/>
      <w:r w:rsidRPr="00FB431C">
        <w:t>Application</w:t>
      </w:r>
    </w:p>
    <w:p w:rsidR="00000000" w:rsidRPr="00FB431C" w:rsidP="007D752E">
      <w:pPr>
        <w:pStyle w:val="BodyText"/>
      </w:pPr>
      <w:r w:rsidRPr="00FB431C">
        <w:t>This unit of competency covers the ability to set up and coordinate sensory analysis and assess the results obtained from a rou</w:t>
      </w:r>
      <w:r w:rsidRPr="00FB431C">
        <w:t>tine sensory analysis.</w:t>
      </w:r>
    </w:p>
    <w:p w:rsidR="00000000" w:rsidRPr="00FB431C" w:rsidP="007D752E">
      <w:pPr>
        <w:pStyle w:val="BodyText"/>
      </w:pPr>
      <w:r w:rsidRPr="00FB431C">
        <w:t>This unit of competency is applicable to laboratory technicians and technical officers working in the food industry. Although a supervisor may not always be present, the technician will follow standard operating procedures (SOPs) th</w:t>
      </w:r>
      <w:r w:rsidRPr="00FB431C">
        <w:t>at will clearly describe the scope of permitted practice in modifying testing procedures and for communicating results to people outside of the laboratory.</w:t>
      </w:r>
    </w:p>
    <w:p w:rsidR="00000000" w:rsidRPr="00FB431C" w:rsidP="007D752E">
      <w:pPr>
        <w:pStyle w:val="BodyText"/>
      </w:pPr>
      <w:r w:rsidRPr="00FB431C">
        <w:t>While no specific licensing or certification requirements apply to this unit at the time of publica</w:t>
      </w:r>
      <w:r w:rsidRPr="00FB431C">
        <w:t>tion, laboratory operations are governed by relevant legislation, regulations and/or external accreditation requirements. Local requirements should be checked.</w:t>
      </w:r>
    </w:p>
    <w:p w:rsidR="00000000" w:rsidRPr="00FB431C" w:rsidP="00FB431C">
      <w:pPr>
        <w:pStyle w:val="Heading1"/>
      </w:pPr>
      <w:bookmarkStart w:id="3" w:name="O_901528"/>
      <w:bookmarkEnd w:id="3"/>
      <w:r w:rsidRPr="00FB431C">
        <w:t>Pre-requisite Unit</w:t>
      </w:r>
    </w:p>
    <w:p w:rsidR="00000000" w:rsidRPr="00FB431C" w:rsidP="007D752E">
      <w:pPr>
        <w:pStyle w:val="BodyText"/>
      </w:pPr>
      <w:r w:rsidRPr="00FB431C">
        <w:t>Nil</w:t>
      </w:r>
    </w:p>
    <w:p w:rsidR="00000000" w:rsidRPr="00FB431C" w:rsidP="00FB431C">
      <w:pPr>
        <w:pStyle w:val="Heading1"/>
      </w:pPr>
      <w:bookmarkStart w:id="4" w:name="O_901527"/>
      <w:bookmarkEnd w:id="4"/>
      <w:r w:rsidRPr="00FB431C">
        <w:t>Competency Field</w:t>
      </w:r>
    </w:p>
    <w:p w:rsidR="00000000" w:rsidRPr="00FB431C" w:rsidP="007D752E">
      <w:pPr>
        <w:pStyle w:val="BodyText"/>
      </w:pPr>
      <w:r w:rsidRPr="00FB431C">
        <w:t>Testing</w:t>
      </w:r>
    </w:p>
    <w:p w:rsidR="00000000" w:rsidRPr="00FB431C" w:rsidP="00FB431C">
      <w:pPr>
        <w:pStyle w:val="Heading1"/>
      </w:pPr>
      <w:bookmarkStart w:id="5" w:name="O_901526"/>
      <w:bookmarkEnd w:id="5"/>
      <w:r w:rsidRPr="00FB431C">
        <w:t>Unit Sector</w:t>
      </w:r>
    </w:p>
    <w:p w:rsidR="00000000" w:rsidRPr="00FB431C" w:rsidP="00FB431C">
      <w:pPr>
        <w:pStyle w:val="Heading1"/>
      </w:pPr>
      <w:bookmarkStart w:id="6" w:name="O_901525"/>
      <w:bookmarkEnd w:id="6"/>
      <w:r w:rsidRPr="00FB43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Performance criteria describe the performance needed to demonstrate achievement of the element.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>Select panellists/individuals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Perform initial screening of potential panellists/individuals based on the testing brief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Use information to select suitable people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 xml:space="preserve">Analyse and report the results used to establish a panel 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>Prepare panellists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Prepare panellists for sensory analysis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Conduct any training required to detect test characteristics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Instruct panellists on recording and reporting requirements of test data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>Prepare samples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Prepare reference samples to be used for the sensory analysis specification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Prepare evaluation samples to sensory analysis specification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Apply food safety procedures in the preparation and presentation of samples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Identify and report on any defects or abnormalities in samples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>Conduct routine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Select appropriate test materials for the information required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Ensure tests are conducted according to workplace procedures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 xml:space="preserve">Analyse data 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Report on process and results in accordance with workplace procedures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>Evaluate and report findings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Assess the possible effects of group attributes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Review reliability of results for group bias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Complete all relevant documentation and present findings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 xml:space="preserve">Maintain a safe work </w:t>
            </w:r>
            <w:r w:rsidRPr="00FB431C">
              <w:rPr>
                <w:rStyle w:val="SpecialBold"/>
              </w:rPr>
              <w:t>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Use established work practices to ensure personal safety and that of other personnel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Minimise the generation of waste and environmental impacts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Ensure the safe collection of laboratory waste for subsequent disposal</w:t>
            </w:r>
          </w:p>
        </w:tc>
      </w:tr>
      <w:tr w:rsidTr="00FB4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Care for and store equipment and reagents as required</w:t>
            </w:r>
          </w:p>
        </w:tc>
      </w:tr>
    </w:tbl>
    <w:p w:rsidR="00000000" w:rsidRPr="00FB431C" w:rsidP="00FB431C">
      <w:pPr>
        <w:pStyle w:val="BodyText"/>
      </w:pPr>
    </w:p>
    <w:p w:rsidR="00000000" w:rsidRPr="00FB431C" w:rsidP="00FB431C">
      <w:pPr>
        <w:pStyle w:val="AllowPageBreak"/>
      </w:pPr>
    </w:p>
    <w:p w:rsidR="00000000" w:rsidRPr="00FB431C" w:rsidP="00FB431C">
      <w:pPr>
        <w:pStyle w:val="Heading1"/>
      </w:pPr>
      <w:bookmarkStart w:id="7" w:name="O_901524"/>
      <w:bookmarkEnd w:id="7"/>
      <w:r w:rsidRPr="00FB431C">
        <w:t>Foundation Skills</w:t>
      </w:r>
    </w:p>
    <w:p w:rsidR="00000000" w:rsidRPr="00FB431C" w:rsidP="007D752E">
      <w:pPr>
        <w:pStyle w:val="BodyText"/>
      </w:pPr>
      <w:r w:rsidRPr="00FB431C">
        <w:t>This section describes those language, literacy, numeracy and employment skills that are essential to performance.</w:t>
      </w:r>
    </w:p>
    <w:p w:rsidR="00000000" w:rsidRPr="00FB431C" w:rsidP="007D752E">
      <w:pPr>
        <w:pStyle w:val="BodyText"/>
      </w:pPr>
      <w:r w:rsidRPr="00FB431C">
        <w:t>Foundation skills essential to performance are ex</w:t>
      </w:r>
      <w:r w:rsidRPr="00FB431C">
        <w:t>plicit in the performance criteria of this unit of competency.</w:t>
      </w:r>
    </w:p>
    <w:p w:rsidR="00000000" w:rsidRPr="00FB431C" w:rsidP="00FB431C">
      <w:pPr>
        <w:pStyle w:val="Heading1"/>
      </w:pPr>
      <w:bookmarkStart w:id="8" w:name="O_901523"/>
      <w:bookmarkEnd w:id="8"/>
      <w:r w:rsidRPr="00FB431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D75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t xml:space="preserve">This field allows for different work environments and conditions that may affect performance. Essential operating conditions that may be present (depending </w:t>
            </w:r>
            <w:r w:rsidRPr="00FB431C">
              <w:t>on the work situation, needs of the candidate, accessibility of the item, and local industry and regional contexts) are included.</w:t>
            </w:r>
          </w:p>
        </w:tc>
      </w:tr>
      <w:tr w:rsidTr="007D75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Standards, codes, procedures and/or workplace requirements include the latest version of one or more of:</w:t>
            </w:r>
          </w:p>
          <w:p w:rsidR="00000000" w:rsidRPr="00FB431C" w:rsidP="00FB431C">
            <w:pPr>
              <w:pStyle w:val="ListBullet"/>
            </w:pPr>
            <w:r w:rsidRPr="00FB431C">
              <w:t>Australian and international standards covering the requirements for the competence of testing and calibration laboratories, laboratory safety and qua</w:t>
            </w:r>
            <w:r w:rsidRPr="00FB431C">
              <w:t>lity management</w:t>
            </w:r>
          </w:p>
          <w:p w:rsidR="00000000" w:rsidRPr="00FB431C" w:rsidP="00FB431C">
            <w:pPr>
              <w:pStyle w:val="ListBullet"/>
            </w:pPr>
            <w:r w:rsidRPr="00FB431C">
              <w:t>national work health and safety (WHS) standards and codes of practice, and national measurement regulations and guidelines</w:t>
            </w:r>
          </w:p>
          <w:p w:rsidR="00000000" w:rsidRPr="00FB431C" w:rsidP="00FB431C">
            <w:pPr>
              <w:pStyle w:val="ListBullet"/>
            </w:pPr>
            <w:r w:rsidRPr="00FB431C">
              <w:t>industry-specific Australian Standards covering sensory analysis, assessing odour and taint, and assessing modificati</w:t>
            </w:r>
            <w:r w:rsidRPr="00FB431C">
              <w:t>ons to the flavour of foodstuffs due to packaging</w:t>
            </w:r>
          </w:p>
          <w:p w:rsidR="00000000" w:rsidRPr="00FB431C" w:rsidP="00FB431C">
            <w:pPr>
              <w:pStyle w:val="ListBullet"/>
            </w:pPr>
            <w:r w:rsidRPr="00FB431C">
              <w:t>workplace documents, such as SOPs; quality and equipment manuals; calibration and maintenance schedules; material safety data sheets (MSDS) and safety procedures; material, production and product specificat</w:t>
            </w:r>
            <w:r w:rsidRPr="00FB431C">
              <w:t>ions; production and laboratory schedules; workplace recording and reporting procedures; and waste minimisation and safe disposal procedures</w:t>
            </w:r>
          </w:p>
          <w:p w:rsidR="00000000" w:rsidRPr="00FB431C" w:rsidP="00FB431C">
            <w:pPr>
              <w:pStyle w:val="ListBullet"/>
            </w:pPr>
            <w:r w:rsidRPr="00FB431C">
              <w:t>sampling plans and procedures (labelling, preparation, storage, transport and disposal)</w:t>
            </w:r>
          </w:p>
          <w:p w:rsidR="00000000" w:rsidRPr="00FB431C" w:rsidP="00FB431C">
            <w:pPr>
              <w:pStyle w:val="ListBullet"/>
            </w:pPr>
            <w:r w:rsidRPr="00FB431C">
              <w:t xml:space="preserve">test procedures (validated </w:t>
            </w:r>
            <w:r w:rsidRPr="00FB431C">
              <w:t>and authorised), and sensory analysis criteria</w:t>
            </w:r>
          </w:p>
          <w:p w:rsidR="00000000" w:rsidP="00FB431C">
            <w:pPr>
              <w:pStyle w:val="BodyText"/>
              <w:rPr>
                <w:lang w:val="en-NZ"/>
              </w:rPr>
            </w:pPr>
          </w:p>
        </w:tc>
      </w:tr>
      <w:tr w:rsidTr="007D75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 xml:space="preserve">Samples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Samples include one or more of:</w:t>
            </w:r>
          </w:p>
          <w:p w:rsidR="00000000" w:rsidRPr="00FB431C" w:rsidP="00FB431C">
            <w:pPr>
              <w:pStyle w:val="ListBullet"/>
            </w:pPr>
            <w:r w:rsidRPr="00FB431C">
              <w:t>raw materials, ingredients, final products, packaging materials, and materials which come in contact with the product</w:t>
            </w:r>
          </w:p>
          <w:p w:rsidR="00000000" w:rsidRPr="00FB431C" w:rsidP="00FB431C">
            <w:pPr>
              <w:pStyle w:val="ListBullet"/>
            </w:pPr>
            <w:r w:rsidRPr="00FB431C">
              <w:t>materials at stages of production</w:t>
            </w:r>
          </w:p>
          <w:p w:rsidR="00000000" w:rsidRPr="00FB431C" w:rsidP="00FB431C">
            <w:pPr>
              <w:pStyle w:val="ListBullet"/>
            </w:pPr>
            <w:r w:rsidRPr="00FB431C">
              <w:t>process aids and adjuncts</w:t>
            </w:r>
          </w:p>
          <w:p w:rsidR="00000000" w:rsidP="00FB431C">
            <w:pPr>
              <w:pStyle w:val="BodyText"/>
              <w:rPr>
                <w:lang w:val="en-NZ"/>
              </w:rPr>
            </w:pPr>
          </w:p>
        </w:tc>
      </w:tr>
      <w:tr w:rsidTr="007D75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 xml:space="preserve">Tests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Tests are performed to:</w:t>
            </w:r>
          </w:p>
          <w:p w:rsidR="00000000" w:rsidRPr="00FB431C" w:rsidP="00FB431C">
            <w:pPr>
              <w:pStyle w:val="ListBullet"/>
            </w:pPr>
            <w:r w:rsidRPr="00FB431C">
              <w:t>determine sample appearance, texture, aroma and flavour</w:t>
            </w:r>
          </w:p>
          <w:p w:rsidR="00000000" w:rsidP="00FB431C">
            <w:pPr>
              <w:pStyle w:val="BodyText"/>
              <w:rPr>
                <w:lang w:val="en-NZ"/>
              </w:rPr>
            </w:pPr>
          </w:p>
        </w:tc>
      </w:tr>
      <w:tr w:rsidTr="007D75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 xml:space="preserve">Testing methods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Testing methods include, but are not limited to, one or more of:</w:t>
            </w:r>
          </w:p>
          <w:p w:rsidR="00000000" w:rsidRPr="00FB431C" w:rsidP="00FB431C">
            <w:pPr>
              <w:pStyle w:val="ListBullet"/>
            </w:pPr>
            <w:r w:rsidRPr="00FB431C">
              <w:t>triangular test, duo-trio test, ranking test, paired comparison test and blending test</w:t>
            </w:r>
          </w:p>
          <w:p w:rsidR="00000000" w:rsidRPr="00FB431C" w:rsidP="00FB431C">
            <w:pPr>
              <w:pStyle w:val="ListBullet"/>
            </w:pPr>
            <w:r w:rsidRPr="00FB431C">
              <w:t>flavour profile</w:t>
            </w:r>
          </w:p>
          <w:p w:rsidR="00000000" w:rsidRPr="00FB431C" w:rsidP="00FB431C">
            <w:pPr>
              <w:pStyle w:val="ListBullet"/>
            </w:pPr>
            <w:r w:rsidRPr="00FB431C">
              <w:t>threshold analysis</w:t>
            </w:r>
          </w:p>
          <w:p w:rsidR="00000000" w:rsidRPr="00FB431C" w:rsidP="00FB431C">
            <w:pPr>
              <w:pStyle w:val="ListBullet"/>
            </w:pPr>
            <w:r w:rsidRPr="00FB431C">
              <w:t>discriminative testing, descriptive testing and affective testing</w:t>
            </w:r>
          </w:p>
          <w:p w:rsidR="00000000" w:rsidP="00FB431C">
            <w:pPr>
              <w:pStyle w:val="BodyText"/>
              <w:rPr>
                <w:lang w:val="en-NZ"/>
              </w:rPr>
            </w:pPr>
          </w:p>
        </w:tc>
      </w:tr>
      <w:tr w:rsidTr="007D75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 xml:space="preserve">The results obtained from the sensory analysis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The results obtain</w:t>
            </w:r>
            <w:r w:rsidRPr="00FB431C">
              <w:t>ed from the sensory analysis are applied to one or more of:</w:t>
            </w:r>
          </w:p>
          <w:p w:rsidR="00000000" w:rsidRPr="00FB431C" w:rsidP="00FB431C">
            <w:pPr>
              <w:pStyle w:val="ListBullet"/>
            </w:pPr>
            <w:r w:rsidRPr="00FB431C">
              <w:t>marketing studies</w:t>
            </w:r>
          </w:p>
          <w:p w:rsidR="00000000" w:rsidRPr="00FB431C" w:rsidP="00FB431C">
            <w:pPr>
              <w:pStyle w:val="ListBullet"/>
            </w:pPr>
            <w:r w:rsidRPr="00FB431C">
              <w:t>purchasing requirements</w:t>
            </w:r>
          </w:p>
          <w:p w:rsidR="00000000" w:rsidRPr="00FB431C" w:rsidP="00FB431C">
            <w:pPr>
              <w:pStyle w:val="ListBullet"/>
            </w:pPr>
            <w:r w:rsidRPr="00FB431C">
              <w:t>quality assurance at various stages of production</w:t>
            </w:r>
          </w:p>
          <w:p w:rsidR="00000000" w:rsidRPr="00FB431C" w:rsidP="00FB431C">
            <w:pPr>
              <w:pStyle w:val="ListBullet"/>
            </w:pPr>
            <w:r w:rsidRPr="00FB431C">
              <w:t>quality control and troubleshooting</w:t>
            </w:r>
          </w:p>
          <w:p w:rsidR="00000000" w:rsidRPr="00FB431C" w:rsidP="00FB431C">
            <w:pPr>
              <w:pStyle w:val="ListBullet"/>
            </w:pPr>
            <w:r w:rsidRPr="00FB431C">
              <w:t>research and development of new products</w:t>
            </w:r>
          </w:p>
          <w:p w:rsidR="00000000" w:rsidRPr="00FB431C" w:rsidP="00FB431C">
            <w:pPr>
              <w:pStyle w:val="ListBullet"/>
            </w:pPr>
            <w:r w:rsidRPr="00FB431C">
              <w:t>customer returns</w:t>
            </w:r>
          </w:p>
          <w:p w:rsidR="00000000" w:rsidRPr="00FB431C" w:rsidP="00FB431C">
            <w:pPr>
              <w:pStyle w:val="ListBullet"/>
            </w:pPr>
            <w:r w:rsidRPr="00FB431C">
              <w:t>product recalls</w:t>
            </w:r>
          </w:p>
          <w:p w:rsidR="00000000" w:rsidP="00FB431C">
            <w:pPr>
              <w:pStyle w:val="BodyText"/>
              <w:rPr>
                <w:lang w:val="en-NZ"/>
              </w:rPr>
            </w:pPr>
          </w:p>
        </w:tc>
      </w:tr>
      <w:tr w:rsidTr="007D75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31C">
            <w:pPr>
              <w:pStyle w:val="BodyText"/>
              <w:rPr>
                <w:lang w:val="en-NZ"/>
              </w:rPr>
            </w:pPr>
            <w:r w:rsidRPr="00FB431C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31C" w:rsidP="00FB431C">
            <w:pPr>
              <w:pStyle w:val="BodyText"/>
            </w:pPr>
            <w:r w:rsidRPr="00FB431C">
              <w:t>WHS and environmental management requirements include:</w:t>
            </w:r>
          </w:p>
          <w:p w:rsidR="00000000" w:rsidRPr="00FB431C" w:rsidP="00FB431C">
            <w:pPr>
              <w:pStyle w:val="BodyText"/>
            </w:pPr>
            <w:r w:rsidRPr="00FB431C">
              <w:rPr>
                <w:rStyle w:val="Symbols"/>
              </w:rPr>
              <w:t></w:t>
            </w:r>
            <w:r w:rsidRPr="00FB431C">
              <w:rPr>
                <w:rStyle w:val="Symbols"/>
              </w:rPr>
              <w:tab/>
            </w:r>
            <w:r w:rsidRPr="00FB431C">
              <w:t>complying with WHS and environmental management requirements at all times, which may be imposed through state/territory or federal leg</w:t>
            </w:r>
            <w:r w:rsidRPr="00FB431C">
              <w:t>islation. These requirements must not be compromised at any time</w:t>
            </w:r>
          </w:p>
          <w:p w:rsidR="00000000" w:rsidRPr="00FB431C" w:rsidP="00FB431C">
            <w:pPr>
              <w:pStyle w:val="BodyText"/>
            </w:pPr>
            <w:r w:rsidRPr="00FB431C">
              <w:rPr>
                <w:rStyle w:val="Symbols"/>
              </w:rPr>
              <w:t></w:t>
            </w:r>
            <w:r w:rsidRPr="00FB431C">
              <w:rPr>
                <w:rStyle w:val="Symbols"/>
              </w:rPr>
              <w:tab/>
            </w:r>
            <w:r w:rsidRPr="00FB431C">
              <w:t>applying standard precautions relating to the potentially hazardous nature of samples</w:t>
            </w:r>
          </w:p>
          <w:p w:rsidR="00000000" w:rsidRPr="00FB431C" w:rsidP="00FB431C">
            <w:pPr>
              <w:pStyle w:val="ListBullet"/>
            </w:pPr>
            <w:r w:rsidRPr="00FB431C">
              <w:t xml:space="preserve">accessing and applying current industry understanding of infection control issued by the National </w:t>
            </w:r>
            <w:r w:rsidRPr="00FB431C">
              <w:t>Health and Medical Research Council (NHMRC) and State and Territory Departments of Health, where relevant</w:t>
            </w:r>
          </w:p>
        </w:tc>
      </w:tr>
    </w:tbl>
    <w:p w:rsidR="00000000" w:rsidRPr="00FB431C" w:rsidP="00FB431C">
      <w:pPr>
        <w:pStyle w:val="BodyText"/>
      </w:pPr>
    </w:p>
    <w:p w:rsidR="00000000" w:rsidRPr="00FB431C" w:rsidP="00FB431C">
      <w:pPr>
        <w:pStyle w:val="AllowPageBreak"/>
      </w:pPr>
    </w:p>
    <w:p w:rsidR="00000000" w:rsidRPr="00FB431C" w:rsidP="00FB431C">
      <w:pPr>
        <w:pStyle w:val="Heading1"/>
      </w:pPr>
      <w:bookmarkStart w:id="9" w:name="O_901522"/>
      <w:bookmarkEnd w:id="9"/>
      <w:r w:rsidRPr="00FB431C">
        <w:t>Unit Mapping Information</w:t>
      </w:r>
    </w:p>
    <w:p w:rsidR="00000000" w:rsidRPr="00FB431C" w:rsidP="007D752E">
      <w:pPr>
        <w:pStyle w:val="BodyText"/>
      </w:pPr>
      <w:r w:rsidRPr="00FB431C">
        <w:t>Release 1. Supersedes and is equivalent to MSL975005A Conduct sensory analysis</w:t>
      </w:r>
    </w:p>
    <w:p w:rsidR="00000000" w:rsidRPr="00FB431C" w:rsidP="00FB431C">
      <w:pPr>
        <w:pStyle w:val="Heading1"/>
      </w:pPr>
      <w:bookmarkStart w:id="10" w:name="O_901515"/>
      <w:bookmarkEnd w:id="10"/>
      <w:r w:rsidRPr="00FB431C">
        <w:t>Links</w:t>
      </w:r>
    </w:p>
    <w:p w:rsidR="00000000" w:rsidRPr="00FB431C" w:rsidP="007D752E">
      <w:pPr>
        <w:pStyle w:val="BodyText"/>
      </w:pPr>
      <w:r w:rsidRPr="00FB43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232B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B431C" w:rsidP="007D752E">
      <w:pPr>
        <w:pStyle w:val="BodyText"/>
        <w:sectPr w:rsidSect="00FB43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431C" w:rsidP="00FB431C">
      <w:pPr>
        <w:pStyle w:val="SuperHeading"/>
      </w:pPr>
      <w:r w:rsidRPr="00FB431C">
        <w:t>Assessment Requirements for MSL975005 Conduct sensory analysis</w:t>
      </w:r>
    </w:p>
    <w:p w:rsidR="00000000" w:rsidRPr="00FB431C" w:rsidP="00FB431C">
      <w:pPr>
        <w:pStyle w:val="Heading1"/>
      </w:pPr>
      <w:bookmarkStart w:id="11" w:name="O_901517"/>
      <w:bookmarkEnd w:id="11"/>
      <w:r w:rsidRPr="00FB431C">
        <w:t>Modification History</w:t>
      </w:r>
    </w:p>
    <w:p w:rsidR="00000000" w:rsidRPr="00FB431C" w:rsidP="007D752E">
      <w:pPr>
        <w:pStyle w:val="BodyText"/>
      </w:pPr>
      <w:r w:rsidRPr="00FB431C">
        <w:t>Release 1. Supersedes and is equivalent to MSL975005A Conduct sensory analysis</w:t>
      </w:r>
    </w:p>
    <w:p w:rsidR="00000000" w:rsidRPr="00FB431C" w:rsidP="00FB431C">
      <w:pPr>
        <w:pStyle w:val="Heading1"/>
      </w:pPr>
      <w:bookmarkStart w:id="12" w:name="O_901520"/>
      <w:bookmarkEnd w:id="12"/>
      <w:r w:rsidRPr="00FB431C">
        <w:t>Performance Evidence</w:t>
      </w:r>
    </w:p>
    <w:p w:rsidR="00000000" w:rsidRPr="00FB431C" w:rsidP="007D752E">
      <w:pPr>
        <w:pStyle w:val="BodyText"/>
      </w:pPr>
      <w:r w:rsidRPr="00FB431C">
        <w:t>Evidence of competence in this unit must satisfy all of the requirements of the elements and performan</w:t>
      </w:r>
      <w:r w:rsidRPr="00FB431C">
        <w:t>ce criteria, and include demonstration of:</w:t>
      </w:r>
    </w:p>
    <w:p w:rsidR="00000000" w:rsidRPr="00FB431C" w:rsidP="00FB431C">
      <w:pPr>
        <w:pStyle w:val="ListBullet"/>
      </w:pPr>
      <w:r w:rsidRPr="00FB431C">
        <w:t>setting up and coordinating at least one (1) sensory analysis</w:t>
      </w:r>
    </w:p>
    <w:p w:rsidR="00000000" w:rsidRPr="00FB431C" w:rsidP="00FB431C">
      <w:pPr>
        <w:pStyle w:val="ListBullet"/>
      </w:pPr>
      <w:r w:rsidRPr="00FB431C">
        <w:t>selecting appropriate test procedures</w:t>
      </w:r>
    </w:p>
    <w:p w:rsidR="00000000" w:rsidRPr="00FB431C" w:rsidP="00FB431C">
      <w:pPr>
        <w:pStyle w:val="ListBullet"/>
      </w:pPr>
      <w:r w:rsidRPr="00FB431C">
        <w:t>developing and using questionnaires</w:t>
      </w:r>
    </w:p>
    <w:p w:rsidR="00000000" w:rsidRPr="00FB431C" w:rsidP="00FB431C">
      <w:pPr>
        <w:pStyle w:val="ListBullet"/>
      </w:pPr>
      <w:r w:rsidRPr="00FB431C">
        <w:t>preparing evaluation samples by dosing or processing</w:t>
      </w:r>
    </w:p>
    <w:p w:rsidR="00000000" w:rsidRPr="00FB431C" w:rsidP="00FB431C">
      <w:pPr>
        <w:pStyle w:val="ListBullet"/>
      </w:pPr>
      <w:r w:rsidRPr="00FB431C">
        <w:t>ensuring samples are in</w:t>
      </w:r>
      <w:r w:rsidRPr="00FB431C">
        <w:t xml:space="preserve"> a suitable condition for analysis</w:t>
      </w:r>
    </w:p>
    <w:p w:rsidR="00000000" w:rsidRPr="00FB431C" w:rsidP="00FB431C">
      <w:pPr>
        <w:pStyle w:val="ListBullet"/>
      </w:pPr>
      <w:r w:rsidRPr="00FB431C">
        <w:t>performing initial screening of panellists and determining their suitability</w:t>
      </w:r>
    </w:p>
    <w:p w:rsidR="00000000" w:rsidRPr="00FB431C" w:rsidP="00FB431C">
      <w:pPr>
        <w:pStyle w:val="ListBullet"/>
      </w:pPr>
      <w:r w:rsidRPr="00FB431C">
        <w:t>selecting suitable panellists</w:t>
      </w:r>
    </w:p>
    <w:p w:rsidR="00000000" w:rsidRPr="00FB431C" w:rsidP="00FB431C">
      <w:pPr>
        <w:pStyle w:val="ListBullet"/>
      </w:pPr>
      <w:r w:rsidRPr="00FB431C">
        <w:t>conducting training required to detect test characteristics</w:t>
      </w:r>
    </w:p>
    <w:p w:rsidR="00000000" w:rsidRPr="00FB431C" w:rsidP="00FB431C">
      <w:pPr>
        <w:pStyle w:val="ListBullet"/>
      </w:pPr>
      <w:r w:rsidRPr="00FB431C">
        <w:t>communicating effectively with panellists who have diverse cultural and social backgrounds</w:t>
      </w:r>
    </w:p>
    <w:p w:rsidR="00000000" w:rsidRPr="00FB431C" w:rsidP="00FB431C">
      <w:pPr>
        <w:pStyle w:val="ListBullet"/>
      </w:pPr>
      <w:r w:rsidRPr="00FB431C">
        <w:t>thoroughly analysing routine sensory analysis data and evaluating the results</w:t>
      </w:r>
    </w:p>
    <w:p w:rsidR="00000000" w:rsidRPr="00FB431C" w:rsidP="00FB431C">
      <w:pPr>
        <w:pStyle w:val="ListBullet"/>
      </w:pPr>
      <w:r w:rsidRPr="00FB431C">
        <w:t>recording and reporting the significance of results, including the discussion of any er</w:t>
      </w:r>
      <w:r w:rsidRPr="00FB431C">
        <w:t>rors and/or unexpected variation to appropriate personnel</w:t>
      </w:r>
    </w:p>
    <w:p w:rsidR="00000000" w:rsidRPr="00FB431C" w:rsidP="00FB431C">
      <w:pPr>
        <w:pStyle w:val="ListBullet"/>
      </w:pPr>
      <w:r w:rsidRPr="00FB431C">
        <w:t>following workplace safety procedures.</w:t>
      </w:r>
    </w:p>
    <w:p w:rsidR="00000000" w:rsidRPr="00FB431C" w:rsidP="00FB431C">
      <w:pPr>
        <w:pStyle w:val="AllowPageBreak"/>
      </w:pPr>
    </w:p>
    <w:p w:rsidR="00000000" w:rsidRPr="00FB431C" w:rsidP="00FB431C">
      <w:pPr>
        <w:pStyle w:val="Heading1"/>
      </w:pPr>
      <w:bookmarkStart w:id="13" w:name="O_901519"/>
      <w:bookmarkEnd w:id="13"/>
      <w:r w:rsidRPr="00FB431C">
        <w:t>Knowledge Evidence</w:t>
      </w:r>
    </w:p>
    <w:p w:rsidR="00000000" w:rsidRPr="00FB431C" w:rsidP="007D752E">
      <w:pPr>
        <w:pStyle w:val="BodyText"/>
      </w:pPr>
      <w:r w:rsidRPr="00FB431C">
        <w:t>Must provide evidence that demonstrates knowledge of:</w:t>
      </w:r>
    </w:p>
    <w:p w:rsidR="00000000" w:rsidRPr="00FB431C" w:rsidP="00FB431C">
      <w:pPr>
        <w:pStyle w:val="ListBullet"/>
      </w:pPr>
      <w:r w:rsidRPr="00FB431C">
        <w:t>anatomy, physiology and functions of taste and smell</w:t>
      </w:r>
    </w:p>
    <w:p w:rsidR="00000000" w:rsidRPr="00FB431C" w:rsidP="00FB431C">
      <w:pPr>
        <w:pStyle w:val="ListBullet"/>
      </w:pPr>
      <w:r w:rsidRPr="00FB431C">
        <w:t>the primary fla</w:t>
      </w:r>
      <w:r w:rsidRPr="00FB431C">
        <w:t>vour characteristics of sweet/sour, umamic and bitter/salty</w:t>
      </w:r>
    </w:p>
    <w:p w:rsidR="00000000" w:rsidRPr="00FB431C" w:rsidP="00FB431C">
      <w:pPr>
        <w:pStyle w:val="ListBullet"/>
      </w:pPr>
      <w:r w:rsidRPr="00FB431C">
        <w:t>interaction of sensory activity, such as the interaction between taste and smell, and effect of temperature on samples</w:t>
      </w:r>
    </w:p>
    <w:p w:rsidR="00000000" w:rsidRPr="00FB431C" w:rsidP="00FB431C">
      <w:pPr>
        <w:pStyle w:val="ListBullet"/>
      </w:pPr>
      <w:r w:rsidRPr="00FB431C">
        <w:t>associated characteristics of mouth feel and appearance</w:t>
      </w:r>
    </w:p>
    <w:p w:rsidR="00000000" w:rsidRPr="00FB431C" w:rsidP="00FB431C">
      <w:pPr>
        <w:pStyle w:val="ListBullet"/>
      </w:pPr>
      <w:r w:rsidRPr="00FB431C">
        <w:t>consumer research met</w:t>
      </w:r>
      <w:r w:rsidRPr="00FB431C">
        <w:t>hods</w:t>
      </w:r>
    </w:p>
    <w:p w:rsidR="00000000" w:rsidRPr="00FB431C" w:rsidP="00FB431C">
      <w:pPr>
        <w:pStyle w:val="ListBullet"/>
      </w:pPr>
      <w:r w:rsidRPr="00FB431C">
        <w:t>information used to select suitable panellists, such as:</w:t>
      </w:r>
    </w:p>
    <w:p w:rsidR="00000000" w:rsidRPr="00FB431C" w:rsidP="00FB431C">
      <w:pPr>
        <w:pStyle w:val="ListBullet2"/>
      </w:pPr>
      <w:r w:rsidRPr="00FB431C">
        <w:t>workplace procedures, including selection criteria</w:t>
      </w:r>
    </w:p>
    <w:p w:rsidR="00000000" w:rsidRPr="00FB431C" w:rsidP="00FB431C">
      <w:pPr>
        <w:pStyle w:val="ListBullet2"/>
      </w:pPr>
      <w:r w:rsidRPr="00FB431C">
        <w:t>whether people have been trained or not</w:t>
      </w:r>
    </w:p>
    <w:p w:rsidR="00000000" w:rsidRPr="00FB431C" w:rsidP="00FB431C">
      <w:pPr>
        <w:pStyle w:val="ListBullet2"/>
      </w:pPr>
      <w:r w:rsidRPr="00FB431C">
        <w:t>information from an initial screening questionnaire</w:t>
      </w:r>
    </w:p>
    <w:p w:rsidR="00000000" w:rsidRPr="00FB431C" w:rsidP="00FB431C">
      <w:pPr>
        <w:pStyle w:val="ListBullet2"/>
      </w:pPr>
      <w:r w:rsidRPr="00FB431C">
        <w:t>availability</w:t>
      </w:r>
    </w:p>
    <w:p w:rsidR="00000000" w:rsidRPr="00FB431C" w:rsidP="00FB431C">
      <w:pPr>
        <w:pStyle w:val="ListBullet2"/>
      </w:pPr>
      <w:r w:rsidRPr="00FB431C">
        <w:t xml:space="preserve">characteristics of unsuitable people, such as smokers </w:t>
      </w:r>
    </w:p>
    <w:p w:rsidR="00000000" w:rsidRPr="00FB431C" w:rsidP="00FB431C">
      <w:pPr>
        <w:pStyle w:val="ListBullet2"/>
      </w:pPr>
      <w:r w:rsidRPr="00FB431C">
        <w:t>sources of bias</w:t>
      </w:r>
    </w:p>
    <w:p w:rsidR="00000000" w:rsidRPr="00FB431C" w:rsidP="00FB431C">
      <w:pPr>
        <w:pStyle w:val="ListBullet"/>
      </w:pPr>
      <w:r w:rsidRPr="00FB431C">
        <w:t>principles of descriptive, discriminative and affective sensory analysis methods</w:t>
      </w:r>
    </w:p>
    <w:p w:rsidR="00000000" w:rsidRPr="00FB431C" w:rsidP="00FB431C">
      <w:pPr>
        <w:pStyle w:val="ListBullet"/>
      </w:pPr>
      <w:r w:rsidRPr="00FB431C">
        <w:t>principles of effective control of the sensory testing environment, such as conditions that can dull se</w:t>
      </w:r>
      <w:r w:rsidRPr="00FB431C">
        <w:t>nsitivity</w:t>
      </w:r>
    </w:p>
    <w:p w:rsidR="00000000" w:rsidRPr="00FB431C" w:rsidP="00FB431C">
      <w:pPr>
        <w:pStyle w:val="ListBullet"/>
      </w:pPr>
      <w:r w:rsidRPr="00FB431C">
        <w:t>attributes of panellists which could affect the results, such as:</w:t>
      </w:r>
    </w:p>
    <w:p w:rsidR="00000000" w:rsidRPr="00FB431C" w:rsidP="00FB431C">
      <w:pPr>
        <w:pStyle w:val="ListBullet2"/>
      </w:pPr>
      <w:r w:rsidRPr="00FB431C">
        <w:t>age, gender and ethnicity</w:t>
      </w:r>
    </w:p>
    <w:p w:rsidR="00000000" w:rsidRPr="00FB431C" w:rsidP="00FB431C">
      <w:pPr>
        <w:pStyle w:val="ListBullet2"/>
      </w:pPr>
      <w:r w:rsidRPr="00FB431C">
        <w:t>smoking</w:t>
      </w:r>
    </w:p>
    <w:p w:rsidR="00000000" w:rsidRPr="00FB431C" w:rsidP="00FB431C">
      <w:pPr>
        <w:pStyle w:val="ListBullet2"/>
      </w:pPr>
      <w:r w:rsidRPr="00FB431C">
        <w:t>medications</w:t>
      </w:r>
    </w:p>
    <w:p w:rsidR="00000000" w:rsidRPr="00FB431C" w:rsidP="00FB431C">
      <w:pPr>
        <w:pStyle w:val="ListBullet2"/>
      </w:pPr>
      <w:r w:rsidRPr="00FB431C">
        <w:t>qualifications and trained/untrained</w:t>
      </w:r>
    </w:p>
    <w:p w:rsidR="00000000" w:rsidRPr="00FB431C" w:rsidP="00FB431C">
      <w:pPr>
        <w:pStyle w:val="ListBullet2"/>
      </w:pPr>
      <w:r w:rsidRPr="00FB431C">
        <w:t>random panel</w:t>
      </w:r>
    </w:p>
    <w:p w:rsidR="00000000" w:rsidRPr="00FB431C" w:rsidP="00FB431C">
      <w:pPr>
        <w:pStyle w:val="ListBullet2"/>
      </w:pPr>
      <w:r w:rsidRPr="00FB431C">
        <w:t>cultural food preferences/food styles</w:t>
      </w:r>
    </w:p>
    <w:p w:rsidR="00000000" w:rsidRPr="00FB431C" w:rsidP="00FB431C">
      <w:pPr>
        <w:pStyle w:val="ListBullet"/>
      </w:pPr>
      <w:r w:rsidRPr="00FB431C">
        <w:t>likel</w:t>
      </w:r>
      <w:r w:rsidRPr="00FB431C">
        <w:t>y causes of variation in results and their control</w:t>
      </w:r>
    </w:p>
    <w:p w:rsidR="00000000" w:rsidRPr="00FB431C" w:rsidP="00FB431C">
      <w:pPr>
        <w:pStyle w:val="ListBullet"/>
      </w:pPr>
      <w:r w:rsidRPr="00FB431C">
        <w:t>work health and safety(WHS) and environment requirements.</w:t>
      </w:r>
    </w:p>
    <w:p w:rsidR="00000000" w:rsidRPr="00FB431C" w:rsidP="00FB431C">
      <w:pPr>
        <w:pStyle w:val="AllowPageBreak"/>
      </w:pPr>
    </w:p>
    <w:p w:rsidR="00000000" w:rsidRPr="00FB431C" w:rsidP="00FB431C">
      <w:pPr>
        <w:pStyle w:val="Heading1"/>
      </w:pPr>
      <w:bookmarkStart w:id="14" w:name="O_901518"/>
      <w:bookmarkEnd w:id="14"/>
      <w:r w:rsidRPr="00FB431C">
        <w:t>Assessment Conditions</w:t>
      </w:r>
    </w:p>
    <w:p w:rsidR="00000000" w:rsidRPr="00FB431C" w:rsidP="00FB431C">
      <w:pPr>
        <w:pStyle w:val="ListBullet"/>
      </w:pPr>
      <w:r w:rsidRPr="00FB431C">
        <w:t>Judgment of competence must be based on holistic assessment of the evidence. Assessment methods must confir</w:t>
      </w:r>
      <w:r w:rsidRPr="00FB431C">
        <w:t xml:space="preserve">m consistency of performance over time, rather than a single assessment event. </w:t>
      </w:r>
    </w:p>
    <w:p w:rsidR="00000000" w:rsidRPr="00FB431C" w:rsidP="00FB431C">
      <w:pPr>
        <w:pStyle w:val="ListBullet"/>
      </w:pPr>
      <w:r w:rsidRPr="00FB431C">
        <w:t xml:space="preserve">This unit of competency is to be assessed in the workplace or a simulated workplace environment. A simulated workplace environment must reflect realistic operational workplace </w:t>
      </w:r>
      <w:r w:rsidRPr="00FB431C">
        <w:t xml:space="preserve">conditions that cover all aspects of workplace performance, including the environment, task skills, task management skills, contingency management skills and job role environment skills.  </w:t>
      </w:r>
    </w:p>
    <w:p w:rsidR="00000000" w:rsidRPr="00FB431C" w:rsidP="00FB431C">
      <w:pPr>
        <w:pStyle w:val="ListBullet"/>
      </w:pPr>
      <w:r w:rsidRPr="00FB431C">
        <w:t>Foundation skills are integral to competent performance of the unit</w:t>
      </w:r>
      <w:r w:rsidRPr="00FB431C">
        <w:t xml:space="preserve"> and should not be assessed separately. </w:t>
      </w:r>
    </w:p>
    <w:p w:rsidR="00000000" w:rsidRPr="00FB431C" w:rsidP="00FB431C">
      <w:pPr>
        <w:pStyle w:val="ListBullet"/>
      </w:pPr>
      <w:r w:rsidRPr="00FB431C">
        <w:t>Assessment processes and techniques must be appropriate to the language, literacy and numeracy requirements of the work being performed and the needs of the candidate.</w:t>
      </w:r>
    </w:p>
    <w:p w:rsidR="00000000" w:rsidRPr="00FB431C" w:rsidP="00FB431C">
      <w:pPr>
        <w:pStyle w:val="ListBullet"/>
      </w:pPr>
      <w:r w:rsidRPr="00FB431C">
        <w:t>Knowledge evidence may be collected concurrentl</w:t>
      </w:r>
      <w:r w:rsidRPr="00FB431C">
        <w:t>y with performance evidence or through an independent process, such as workbooks, written assessments or interviews (provided a record is kept in each case).</w:t>
      </w:r>
    </w:p>
    <w:p w:rsidR="00000000" w:rsidRPr="00FB431C" w:rsidP="00FB431C">
      <w:pPr>
        <w:pStyle w:val="ListBullet"/>
      </w:pPr>
      <w:r w:rsidRPr="00FB431C">
        <w:t xml:space="preserve">This unit of competency may be assessed with: </w:t>
      </w:r>
    </w:p>
    <w:p w:rsidR="00000000" w:rsidRPr="00FB431C" w:rsidP="00FB431C">
      <w:pPr>
        <w:pStyle w:val="ListBullet2"/>
      </w:pPr>
      <w:r w:rsidRPr="00FB431C">
        <w:t>MSL925001 Analyse data and report results</w:t>
      </w:r>
    </w:p>
    <w:p w:rsidR="00000000" w:rsidRPr="00FB431C" w:rsidP="00FB431C">
      <w:pPr>
        <w:pStyle w:val="ListBullet"/>
      </w:pPr>
      <w:r w:rsidRPr="00FB431C">
        <w:t>Holisti</w:t>
      </w:r>
      <w:r w:rsidRPr="00FB431C">
        <w:t xml:space="preserve">c assessment methods include: </w:t>
      </w:r>
    </w:p>
    <w:p w:rsidR="00000000" w:rsidRPr="00FB431C" w:rsidP="00FB431C">
      <w:pPr>
        <w:pStyle w:val="ListBullet2"/>
      </w:pPr>
      <w:r w:rsidRPr="00FB431C">
        <w:t>review of written reports, which include an analysis of findings from sensory tests, conducted by the candidate</w:t>
      </w:r>
    </w:p>
    <w:p w:rsidR="00000000" w:rsidRPr="00FB431C" w:rsidP="00FB431C">
      <w:pPr>
        <w:pStyle w:val="ListBullet2"/>
      </w:pPr>
      <w:r w:rsidRPr="00FB431C">
        <w:t>observation of candidate conducting panel tests</w:t>
      </w:r>
    </w:p>
    <w:p w:rsidR="00000000" w:rsidRPr="00FB431C" w:rsidP="00FB431C">
      <w:pPr>
        <w:pStyle w:val="ListBullet2"/>
      </w:pPr>
      <w:r w:rsidRPr="00FB431C">
        <w:t>responses to market scenarios and/or case studies</w:t>
      </w:r>
    </w:p>
    <w:p w:rsidR="00000000" w:rsidRPr="00FB431C" w:rsidP="00FB431C">
      <w:pPr>
        <w:pStyle w:val="ListBullet2"/>
      </w:pPr>
      <w:r w:rsidRPr="00FB431C">
        <w:t>written/oral questions to assess required knowledge.</w:t>
      </w:r>
    </w:p>
    <w:p w:rsidR="00000000" w:rsidRPr="00FB431C" w:rsidP="00FB431C">
      <w:pPr>
        <w:pStyle w:val="ListBullet"/>
      </w:pPr>
      <w:r w:rsidRPr="00FB431C">
        <w:t>Access is required to samples, instruments, equipment, materials, workplace documentation, procedures and specifications associated with this unit, including, but not limited to:</w:t>
      </w:r>
    </w:p>
    <w:p w:rsidR="00000000" w:rsidRPr="00FB431C" w:rsidP="00FB431C">
      <w:pPr>
        <w:pStyle w:val="ListBullet2"/>
      </w:pPr>
      <w:r w:rsidRPr="00FB431C">
        <w:t>statistical data sheet</w:t>
      </w:r>
      <w:r w:rsidRPr="00FB431C">
        <w:t>s and charts, logbooks and scientific calculators</w:t>
      </w:r>
    </w:p>
    <w:p w:rsidR="00000000" w:rsidRPr="00FB431C" w:rsidP="00FB431C">
      <w:pPr>
        <w:pStyle w:val="ListBullet2"/>
      </w:pPr>
      <w:r w:rsidRPr="00FB431C">
        <w:t>relevant ISO Standards and Australian Standards</w:t>
      </w:r>
    </w:p>
    <w:p w:rsidR="00000000" w:rsidRPr="00FB431C" w:rsidP="00FB431C">
      <w:pPr>
        <w:pStyle w:val="ListBullet2"/>
      </w:pPr>
      <w:r w:rsidRPr="00FB431C">
        <w:t>a sensory evaluation panel room and group of panellists.</w:t>
      </w:r>
    </w:p>
    <w:p w:rsidR="00000000" w:rsidRPr="00FB431C" w:rsidP="00FB431C">
      <w:pPr>
        <w:pStyle w:val="ListBullet"/>
      </w:pPr>
      <w:r w:rsidRPr="00FB431C">
        <w:t>Assessors must satisfy the assessor competency requirements that are in place at the time of the ass</w:t>
      </w:r>
      <w:r w:rsidRPr="00FB431C">
        <w:t xml:space="preserve">essment as set by the VET regulator.  </w:t>
      </w:r>
    </w:p>
    <w:p w:rsidR="00000000" w:rsidRPr="00FB431C" w:rsidP="00FB431C">
      <w:pPr>
        <w:pStyle w:val="ListBullet"/>
      </w:pPr>
      <w:r w:rsidRPr="00FB431C">
        <w:t>The assessor must demonstrate both technical competence and currency.</w:t>
      </w:r>
    </w:p>
    <w:p w:rsidR="00000000" w:rsidRPr="00FB431C" w:rsidP="00FB431C">
      <w:pPr>
        <w:pStyle w:val="ListBullet"/>
      </w:pPr>
      <w:r w:rsidRPr="00FB431C">
        <w:t>Technical competence can be demonstrated through:</w:t>
      </w:r>
    </w:p>
    <w:p w:rsidR="00000000" w:rsidRPr="00FB431C" w:rsidP="00FB431C">
      <w:pPr>
        <w:pStyle w:val="ListBullet2"/>
      </w:pPr>
      <w:r w:rsidRPr="00FB431C">
        <w:t>relevant VET or other qualification/Statement of Attainment AND/OR</w:t>
      </w:r>
    </w:p>
    <w:p w:rsidR="00000000" w:rsidRPr="00FB431C" w:rsidP="00FB431C">
      <w:pPr>
        <w:pStyle w:val="ListBullet2"/>
      </w:pPr>
      <w:r w:rsidRPr="00FB431C">
        <w:t>relevant workplace experience</w:t>
      </w:r>
      <w:r w:rsidRPr="00FB431C">
        <w:t>.</w:t>
      </w:r>
    </w:p>
    <w:p w:rsidR="00000000" w:rsidRPr="00FB431C" w:rsidP="00FB431C">
      <w:pPr>
        <w:pStyle w:val="ListBullet"/>
      </w:pPr>
      <w:r w:rsidRPr="00FB431C">
        <w:t>Currency can be demonstrated through:</w:t>
      </w:r>
    </w:p>
    <w:p w:rsidR="00000000" w:rsidRPr="00FB431C" w:rsidP="00FB431C">
      <w:pPr>
        <w:pStyle w:val="ListBullet2"/>
      </w:pPr>
      <w:r w:rsidRPr="00FB431C">
        <w:t>performing the competency being assessed as part of current employment OR</w:t>
      </w:r>
    </w:p>
    <w:p w:rsidR="00000000" w:rsidRPr="00FB431C" w:rsidP="00FB431C">
      <w:pPr>
        <w:pStyle w:val="ListBullet2"/>
      </w:pPr>
      <w:r w:rsidRPr="00FB431C">
        <w:t>having consulted with a laboratory about performing the competency being assessed within the last twelve months.</w:t>
      </w:r>
    </w:p>
    <w:p w:rsidR="00000000" w:rsidRPr="00FB431C" w:rsidP="00FB431C">
      <w:pPr>
        <w:pStyle w:val="AllowPageBreak"/>
      </w:pPr>
    </w:p>
    <w:p w:rsidR="00000000" w:rsidRPr="00FB431C" w:rsidP="00FB431C">
      <w:pPr>
        <w:pStyle w:val="Heading1"/>
      </w:pPr>
      <w:bookmarkStart w:id="15" w:name="O_901516"/>
      <w:bookmarkEnd w:id="15"/>
      <w:r w:rsidRPr="00FB431C">
        <w:t>Links</w:t>
      </w:r>
    </w:p>
    <w:p w:rsidR="00000000" w:rsidRPr="00FB431C" w:rsidP="007D752E">
      <w:pPr>
        <w:pStyle w:val="BodyText"/>
      </w:pPr>
      <w:r w:rsidRPr="00FB43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232B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B431C" w:rsidP="00FB431C"/>
    <w:sectPr w:rsidSect="00FB43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1C" w:rsidRPr="007D752E" w:rsidP="007D75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52E" w:rsidP="00FB4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D752E" w:rsidP="00FB4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D752E" w:rsidP="00FB43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1C" w:rsidP="00FB4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752E">
      <w:t>Approved</w:t>
    </w:r>
    <w:r w:rsidR="007D75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752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752E">
      <w:rPr>
        <w:noProof/>
      </w:rPr>
      <w:t>6</w:t>
    </w:r>
    <w:r>
      <w:rPr>
        <w:noProof/>
      </w:rPr>
      <w:fldChar w:fldCharType="end"/>
    </w:r>
  </w:p>
  <w:p w:rsidR="00FB431C" w:rsidP="00FB4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75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752E">
      <w:t>Manufacturing Industry Skills Alliance</w:t>
    </w:r>
    <w:r w:rsidR="007D752E">
      <w:fldChar w:fldCharType="end"/>
    </w:r>
  </w:p>
  <w:p w:rsidR="00FB431C" w:rsidP="00FB43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5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31C" w:rsidRPr="007D752E" w:rsidP="007D75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52E" w:rsidRPr="002D2AF8" w:rsidP="00FB4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MSL975005 Conduct sensory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752E" w:rsidP="00FB43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31C" w:rsidRPr="002D2AF8" w:rsidP="00FB4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752E">
      <w:t>MSL975005 Conduct sensory analysis</w:t>
    </w:r>
    <w:r w:rsidR="007D75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752E">
      <w:rPr>
        <w:noProof/>
      </w:rPr>
      <w:t>2 March 2025</w:t>
    </w:r>
    <w:r>
      <w:fldChar w:fldCharType="end"/>
    </w:r>
  </w:p>
  <w:p w:rsidR="00FB431C" w:rsidP="00FB43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BED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163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49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3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3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3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3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3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3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3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3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3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3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3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31C"/>
  </w:style>
  <w:style w:type="character" w:customStyle="1" w:styleId="Heading1Char">
    <w:name w:val="Heading 1 Char"/>
    <w:basedOn w:val="DefaultParagraphFont"/>
    <w:link w:val="Heading1"/>
    <w:rsid w:val="00FB43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3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3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3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431C"/>
    <w:rPr>
      <w:b/>
      <w:spacing w:val="0"/>
    </w:rPr>
  </w:style>
  <w:style w:type="paragraph" w:styleId="ListBullet2">
    <w:name w:val="List Bullet 2"/>
    <w:basedOn w:val="List2"/>
    <w:rsid w:val="00FB43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43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3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FB431C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FB43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3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3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3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3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3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3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3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3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3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3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3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3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3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3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3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3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3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3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3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3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3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3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3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3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3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3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3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31C"/>
    <w:rPr>
      <w:i/>
    </w:rPr>
  </w:style>
  <w:style w:type="paragraph" w:styleId="Caption">
    <w:name w:val="caption"/>
    <w:basedOn w:val="BodyText"/>
    <w:next w:val="Normal"/>
    <w:qFormat/>
    <w:rsid w:val="00FB43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3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3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31C"/>
  </w:style>
  <w:style w:type="paragraph" w:styleId="TableofFigures">
    <w:name w:val="table of figures"/>
    <w:basedOn w:val="Normal"/>
    <w:next w:val="Normal"/>
    <w:semiHidden/>
    <w:rsid w:val="00FB43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3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431C"/>
    <w:rPr>
      <w:rFonts w:ascii="Wingdings" w:hAnsi="Wingdings"/>
    </w:rPr>
  </w:style>
  <w:style w:type="paragraph" w:customStyle="1" w:styleId="TableHeading">
    <w:name w:val="Table Heading"/>
    <w:basedOn w:val="HeadingBase"/>
    <w:rsid w:val="00FB43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31C"/>
    <w:rPr>
      <w:color w:val="0033CC"/>
      <w:u w:val="none"/>
    </w:rPr>
  </w:style>
  <w:style w:type="paragraph" w:customStyle="1" w:styleId="BodyTextRight">
    <w:name w:val="Body Text Right"/>
    <w:basedOn w:val="BodyText"/>
    <w:rsid w:val="00FB43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3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3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3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3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3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31C"/>
    <w:rPr>
      <w:sz w:val="32"/>
    </w:rPr>
  </w:style>
  <w:style w:type="paragraph" w:customStyle="1" w:styleId="HeadingProcedure">
    <w:name w:val="Heading Procedure"/>
    <w:basedOn w:val="HeadingBase"/>
    <w:next w:val="Normal"/>
    <w:rsid w:val="00FB43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31C"/>
    <w:pPr>
      <w:spacing w:before="60" w:after="60"/>
    </w:pPr>
  </w:style>
  <w:style w:type="paragraph" w:styleId="ListContinue">
    <w:name w:val="List Continue"/>
    <w:basedOn w:val="List"/>
    <w:rsid w:val="00FB431C"/>
    <w:pPr>
      <w:ind w:firstLine="0"/>
    </w:pPr>
  </w:style>
  <w:style w:type="paragraph" w:customStyle="1" w:styleId="ListNote">
    <w:name w:val="List Note"/>
    <w:basedOn w:val="List"/>
    <w:rsid w:val="00FB43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3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3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31C"/>
    <w:rPr>
      <w:rFonts w:ascii="Courier New" w:hAnsi="Courier New"/>
    </w:rPr>
  </w:style>
  <w:style w:type="paragraph" w:customStyle="1" w:styleId="NoteBullet">
    <w:name w:val="Note Bullet"/>
    <w:basedOn w:val="Note"/>
    <w:rsid w:val="00FB43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3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3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3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3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43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3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31C"/>
    <w:rPr>
      <w:b/>
      <w:smallCaps/>
    </w:rPr>
  </w:style>
  <w:style w:type="paragraph" w:customStyle="1" w:styleId="TableListNumber">
    <w:name w:val="Table List Number"/>
    <w:basedOn w:val="ListNumber"/>
    <w:rsid w:val="00FB43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3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31C"/>
    <w:pPr>
      <w:numPr>
        <w:numId w:val="9"/>
      </w:numPr>
    </w:pPr>
  </w:style>
  <w:style w:type="paragraph" w:customStyle="1" w:styleId="ListAlpha2">
    <w:name w:val="List Alpha 2"/>
    <w:basedOn w:val="List2"/>
    <w:rsid w:val="00FB431C"/>
    <w:pPr>
      <w:numPr>
        <w:numId w:val="8"/>
      </w:numPr>
    </w:pPr>
  </w:style>
  <w:style w:type="paragraph" w:styleId="List2">
    <w:name w:val="List 2"/>
    <w:basedOn w:val="BodyText"/>
    <w:rsid w:val="00FB43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3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3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3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3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3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431C"/>
    <w:pPr>
      <w:numPr>
        <w:numId w:val="4"/>
      </w:numPr>
    </w:pPr>
  </w:style>
  <w:style w:type="paragraph" w:styleId="ListContinue2">
    <w:name w:val="List Continue 2"/>
    <w:basedOn w:val="List2"/>
    <w:rsid w:val="00FB431C"/>
    <w:pPr>
      <w:ind w:firstLine="0"/>
    </w:pPr>
  </w:style>
  <w:style w:type="paragraph" w:styleId="ListContinue3">
    <w:name w:val="List Continue 3"/>
    <w:basedOn w:val="List3"/>
    <w:rsid w:val="00FB431C"/>
    <w:pPr>
      <w:ind w:left="1021" w:firstLine="0"/>
    </w:pPr>
  </w:style>
  <w:style w:type="paragraph" w:styleId="ListContinue4">
    <w:name w:val="List Continue 4"/>
    <w:basedOn w:val="List4"/>
    <w:rsid w:val="00FB431C"/>
    <w:pPr>
      <w:ind w:firstLine="0"/>
    </w:pPr>
  </w:style>
  <w:style w:type="paragraph" w:styleId="ListContinue5">
    <w:name w:val="List Continue 5"/>
    <w:basedOn w:val="List5"/>
    <w:rsid w:val="00FB431C"/>
    <w:pPr>
      <w:ind w:firstLine="0"/>
    </w:pPr>
  </w:style>
  <w:style w:type="paragraph" w:styleId="ListNumber3">
    <w:name w:val="List Number 3"/>
    <w:basedOn w:val="List3"/>
    <w:rsid w:val="00FB431C"/>
    <w:pPr>
      <w:numPr>
        <w:numId w:val="5"/>
      </w:numPr>
    </w:pPr>
  </w:style>
  <w:style w:type="paragraph" w:styleId="ListNumber4">
    <w:name w:val="List Number 4"/>
    <w:basedOn w:val="List4"/>
    <w:rsid w:val="00FB431C"/>
    <w:pPr>
      <w:numPr>
        <w:numId w:val="6"/>
      </w:numPr>
    </w:pPr>
  </w:style>
  <w:style w:type="paragraph" w:styleId="ListNumber5">
    <w:name w:val="List Number 5"/>
    <w:basedOn w:val="List5"/>
    <w:rsid w:val="00FB431C"/>
    <w:pPr>
      <w:numPr>
        <w:numId w:val="7"/>
      </w:numPr>
    </w:pPr>
  </w:style>
  <w:style w:type="paragraph" w:styleId="BlockText">
    <w:name w:val="Block Text"/>
    <w:basedOn w:val="Normal"/>
    <w:rsid w:val="00FB43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3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31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FB43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31C"/>
    <w:rPr>
      <w:b/>
    </w:rPr>
  </w:style>
  <w:style w:type="character" w:customStyle="1" w:styleId="Underlined">
    <w:name w:val="Underlined"/>
    <w:basedOn w:val="DefaultParagraphFont"/>
    <w:rsid w:val="00FB431C"/>
    <w:rPr>
      <w:u w:val="single"/>
    </w:rPr>
  </w:style>
  <w:style w:type="paragraph" w:customStyle="1" w:styleId="TableBodyTextRight">
    <w:name w:val="Table Body Text Right"/>
    <w:basedOn w:val="TableBodyText"/>
    <w:rsid w:val="00FB43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31C"/>
    <w:rPr>
      <w:sz w:val="18"/>
    </w:rPr>
  </w:style>
  <w:style w:type="paragraph" w:customStyle="1" w:styleId="BodySmallRight">
    <w:name w:val="Body Small Right"/>
    <w:basedOn w:val="BodyTextRight"/>
    <w:rsid w:val="00FB431C"/>
    <w:rPr>
      <w:sz w:val="18"/>
      <w:szCs w:val="18"/>
    </w:rPr>
  </w:style>
  <w:style w:type="paragraph" w:customStyle="1" w:styleId="MarginEdition">
    <w:name w:val="Margin Edition"/>
    <w:basedOn w:val="MarginNote"/>
    <w:rsid w:val="00FB43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31C"/>
    <w:rPr>
      <w:sz w:val="2"/>
      <w:szCs w:val="2"/>
    </w:rPr>
  </w:style>
  <w:style w:type="character" w:customStyle="1" w:styleId="Small">
    <w:name w:val="Small"/>
    <w:basedOn w:val="DefaultParagraphFont"/>
    <w:rsid w:val="00FB431C"/>
    <w:rPr>
      <w:sz w:val="16"/>
    </w:rPr>
  </w:style>
  <w:style w:type="paragraph" w:customStyle="1" w:styleId="WideTable">
    <w:name w:val="Wide Table"/>
    <w:basedOn w:val="Normal"/>
    <w:rsid w:val="00FB43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31C"/>
  </w:style>
  <w:style w:type="paragraph" w:styleId="Quote">
    <w:name w:val="Quote"/>
    <w:basedOn w:val="Heading1"/>
    <w:link w:val="QuoteChar"/>
    <w:qFormat/>
    <w:rsid w:val="00FB43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3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31C"/>
    <w:pPr>
      <w:pageBreakBefore/>
    </w:pPr>
  </w:style>
  <w:style w:type="paragraph" w:customStyle="1" w:styleId="Border">
    <w:name w:val="Border"/>
    <w:basedOn w:val="Normal"/>
    <w:qFormat/>
    <w:rsid w:val="00FB43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3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3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3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3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3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3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3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31C"/>
    <w:rPr>
      <w:u w:val="single"/>
    </w:rPr>
  </w:style>
  <w:style w:type="character" w:customStyle="1" w:styleId="BoldandItalics">
    <w:name w:val="Bold and Italics"/>
    <w:qFormat/>
    <w:rsid w:val="00FB431C"/>
    <w:rPr>
      <w:b/>
      <w:i/>
      <w:u w:val="none"/>
    </w:rPr>
  </w:style>
  <w:style w:type="paragraph" w:styleId="BalloonText">
    <w:name w:val="Balloon Text"/>
    <w:basedOn w:val="Normal"/>
    <w:link w:val="BalloonTextChar"/>
    <w:rsid w:val="00FB4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3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3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3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3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3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31C"/>
    <w:pPr>
      <w:spacing w:before="0" w:after="0"/>
    </w:pPr>
  </w:style>
  <w:style w:type="paragraph" w:customStyle="1" w:styleId="BodyTextBold">
    <w:name w:val="Body Text Bold"/>
    <w:basedOn w:val="BodyText"/>
    <w:qFormat/>
    <w:rsid w:val="00FB431C"/>
    <w:rPr>
      <w:b/>
    </w:rPr>
  </w:style>
  <w:style w:type="character" w:styleId="Hyperlink">
    <w:name w:val="Hyperlink"/>
    <w:basedOn w:val="DefaultParagraphFont"/>
    <w:uiPriority w:val="99"/>
    <w:unhideWhenUsed/>
    <w:rsid w:val="007D75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1522</Words>
  <Characters>9900</Characters>
  <Application>Microsoft Office Word</Application>
  <DocSecurity>0</DocSecurity>
  <Lines>353</Lines>
  <Paragraphs>215</Paragraphs>
  <ScaleCrop>false</ScaleCrop>
  <Company>Author-it Software Corporation Ltd.</Company>
  <LinksUpToDate>false</LinksUpToDate>
  <CharactersWithSpaces>11207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MSL975005 Conduct sensory analysis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