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08E7" w:rsidP="007008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MSL975005 Conduct sensory analysis</w:t>
      </w:r>
      <w:r>
        <w:fldChar w:fldCharType="end"/>
      </w:r>
    </w:p>
    <w:p w:rsidR="007008E7" w:rsidP="007008E7">
      <w:pPr>
        <w:pStyle w:val="Version"/>
        <w:sectPr w:rsidSect="00B565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6542" w:rsidP="00B56542">
      <w:pPr>
        <w:pStyle w:val="SuperHeading"/>
      </w:pPr>
      <w:r w:rsidRPr="00B56542">
        <w:t>Assessment Requirements for MSL975005 Conduct sensory analysis</w:t>
      </w:r>
    </w:p>
    <w:p w:rsidR="00000000" w:rsidRPr="00B56542" w:rsidP="00B56542">
      <w:pPr>
        <w:pStyle w:val="Heading1"/>
      </w:pPr>
      <w:bookmarkStart w:id="1" w:name="O_901517"/>
      <w:bookmarkEnd w:id="1"/>
      <w:r w:rsidRPr="00B56542">
        <w:t>Modification History</w:t>
      </w:r>
    </w:p>
    <w:p w:rsidR="00000000" w:rsidRPr="00B56542" w:rsidP="00B56542">
      <w:pPr>
        <w:pStyle w:val="BodyText"/>
      </w:pPr>
      <w:r w:rsidRPr="00B56542">
        <w:t>Release 1. Supersedes and is equivalent to MSL975005A Conduct sensory analysis</w:t>
      </w:r>
    </w:p>
    <w:p w:rsidR="00000000" w:rsidRPr="00B56542" w:rsidP="00B56542">
      <w:pPr>
        <w:pStyle w:val="AllowPageBreak"/>
      </w:pPr>
    </w:p>
    <w:p w:rsidR="00000000" w:rsidRPr="00B56542" w:rsidP="00B56542">
      <w:pPr>
        <w:pStyle w:val="Heading1"/>
      </w:pPr>
      <w:bookmarkStart w:id="2" w:name="O_901520"/>
      <w:bookmarkEnd w:id="2"/>
      <w:r w:rsidRPr="00B56542">
        <w:t>Performance Evidence</w:t>
      </w:r>
    </w:p>
    <w:p w:rsidR="00000000" w:rsidRPr="00B56542" w:rsidP="00B56542">
      <w:pPr>
        <w:pStyle w:val="BodyText"/>
      </w:pPr>
      <w:r w:rsidRPr="00B56542">
        <w:t>Evidence of competence in this unit must satisfy all of the requirements of the elements and performance criteria, and include demonstration of:</w:t>
      </w:r>
    </w:p>
    <w:p w:rsidR="00000000" w:rsidRPr="00B56542" w:rsidP="00B56542">
      <w:pPr>
        <w:pStyle w:val="ListBullet"/>
      </w:pPr>
      <w:r w:rsidRPr="00B56542">
        <w:t>setting up and coordinating at least one (1) sensory analysis</w:t>
      </w:r>
    </w:p>
    <w:p w:rsidR="00000000" w:rsidRPr="00B56542" w:rsidP="00B56542">
      <w:pPr>
        <w:pStyle w:val="ListBullet"/>
      </w:pPr>
      <w:r w:rsidRPr="00B56542">
        <w:t>selecting appropriate test procedures</w:t>
      </w:r>
    </w:p>
    <w:p w:rsidR="00000000" w:rsidRPr="00B56542" w:rsidP="00B56542">
      <w:pPr>
        <w:pStyle w:val="ListBullet"/>
      </w:pPr>
      <w:r w:rsidRPr="00B56542">
        <w:t>developing</w:t>
      </w:r>
      <w:r w:rsidRPr="00B56542">
        <w:t xml:space="preserve"> and using questionnaires</w:t>
      </w:r>
    </w:p>
    <w:p w:rsidR="00000000" w:rsidRPr="00B56542" w:rsidP="00B56542">
      <w:pPr>
        <w:pStyle w:val="ListBullet"/>
      </w:pPr>
      <w:r w:rsidRPr="00B56542">
        <w:t>preparing evaluation samples by dosing or processing</w:t>
      </w:r>
    </w:p>
    <w:p w:rsidR="00000000" w:rsidRPr="00B56542" w:rsidP="00B56542">
      <w:pPr>
        <w:pStyle w:val="ListBullet"/>
      </w:pPr>
      <w:r w:rsidRPr="00B56542">
        <w:t>ensuring samples are in a suitable condition for analysis</w:t>
      </w:r>
    </w:p>
    <w:p w:rsidR="00000000" w:rsidRPr="00B56542" w:rsidP="00B56542">
      <w:pPr>
        <w:pStyle w:val="ListBullet"/>
      </w:pPr>
      <w:r w:rsidRPr="00B56542">
        <w:t>performing initial screening of panellists and determining their suitability</w:t>
      </w:r>
    </w:p>
    <w:p w:rsidR="00000000" w:rsidRPr="00B56542" w:rsidP="00B56542">
      <w:pPr>
        <w:pStyle w:val="ListBullet"/>
      </w:pPr>
      <w:r w:rsidRPr="00B56542">
        <w:t>selecting suitable panellists</w:t>
      </w:r>
    </w:p>
    <w:p w:rsidR="00000000" w:rsidRPr="00B56542" w:rsidP="00B56542">
      <w:pPr>
        <w:pStyle w:val="ListBullet"/>
      </w:pPr>
      <w:r w:rsidRPr="00B56542">
        <w:t>conducting t</w:t>
      </w:r>
      <w:r w:rsidRPr="00B56542">
        <w:t>raining required to detect test characteristics</w:t>
      </w:r>
    </w:p>
    <w:p w:rsidR="00000000" w:rsidRPr="00B56542" w:rsidP="00B56542">
      <w:pPr>
        <w:pStyle w:val="ListBullet"/>
      </w:pPr>
      <w:r w:rsidRPr="00B56542">
        <w:t>communicating effectively with panellists who have diverse cultural and social backgrounds</w:t>
      </w:r>
    </w:p>
    <w:p w:rsidR="00000000" w:rsidRPr="00B56542" w:rsidP="00B56542">
      <w:pPr>
        <w:pStyle w:val="ListBullet"/>
      </w:pPr>
      <w:r w:rsidRPr="00B56542">
        <w:t>thoroughly analysing routine sensory analysis data and evaluating the results</w:t>
      </w:r>
    </w:p>
    <w:p w:rsidR="00000000" w:rsidRPr="00B56542" w:rsidP="00B56542">
      <w:pPr>
        <w:pStyle w:val="ListBullet"/>
      </w:pPr>
      <w:r w:rsidRPr="00B56542">
        <w:t>recording and reporting the significanc</w:t>
      </w:r>
      <w:r w:rsidRPr="00B56542">
        <w:t>e of results, including the discussion of any errors and/or unexpected variation to appropriate personnel</w:t>
      </w:r>
    </w:p>
    <w:p w:rsidR="00000000" w:rsidRPr="00B56542" w:rsidP="00B56542">
      <w:pPr>
        <w:pStyle w:val="ListBullet"/>
      </w:pPr>
      <w:r w:rsidRPr="00B56542">
        <w:t>following workplace safety procedures.</w:t>
      </w:r>
    </w:p>
    <w:p w:rsidR="00000000" w:rsidRPr="00B56542" w:rsidP="00B56542">
      <w:pPr>
        <w:pStyle w:val="AllowPageBreak"/>
      </w:pPr>
    </w:p>
    <w:p w:rsidR="00000000" w:rsidRPr="00B56542" w:rsidP="00B56542">
      <w:pPr>
        <w:pStyle w:val="Heading1"/>
      </w:pPr>
      <w:bookmarkStart w:id="3" w:name="O_901519"/>
      <w:bookmarkEnd w:id="3"/>
      <w:r w:rsidRPr="00B56542">
        <w:t>Knowledge Evidence</w:t>
      </w:r>
    </w:p>
    <w:p w:rsidR="00000000" w:rsidRPr="00B56542" w:rsidP="00B56542">
      <w:pPr>
        <w:pStyle w:val="BodyText"/>
      </w:pPr>
      <w:r w:rsidRPr="00B56542">
        <w:t>Must provide evidence that demonstrates knowledge of:</w:t>
      </w:r>
    </w:p>
    <w:p w:rsidR="00000000" w:rsidRPr="00B56542" w:rsidP="00B56542">
      <w:pPr>
        <w:pStyle w:val="ListBullet"/>
      </w:pPr>
      <w:r w:rsidRPr="00B56542">
        <w:t>anatomy, physiology and functions of taste and smell</w:t>
      </w:r>
    </w:p>
    <w:p w:rsidR="00000000" w:rsidRPr="00B56542" w:rsidP="00B56542">
      <w:pPr>
        <w:pStyle w:val="ListBullet"/>
      </w:pPr>
      <w:r w:rsidRPr="00B56542">
        <w:t>the primary flavour characteristics of sweet/sour, umamic and bitter/salty</w:t>
      </w:r>
    </w:p>
    <w:p w:rsidR="00000000" w:rsidRPr="00B56542" w:rsidP="00B56542">
      <w:pPr>
        <w:pStyle w:val="ListBullet"/>
      </w:pPr>
      <w:r w:rsidRPr="00B56542">
        <w:t>interaction of sensory activity, such as the interaction between taste and smell, and effect of temperature on samples</w:t>
      </w:r>
    </w:p>
    <w:p w:rsidR="00000000" w:rsidRPr="00B56542" w:rsidP="00B56542">
      <w:pPr>
        <w:pStyle w:val="ListBullet"/>
      </w:pPr>
      <w:r w:rsidRPr="00B56542">
        <w:t>associate</w:t>
      </w:r>
      <w:r w:rsidRPr="00B56542">
        <w:t>d characteristics of mouth feel and appearance</w:t>
      </w:r>
    </w:p>
    <w:p w:rsidR="00000000" w:rsidRPr="00B56542" w:rsidP="00B56542">
      <w:pPr>
        <w:pStyle w:val="ListBullet"/>
      </w:pPr>
      <w:r w:rsidRPr="00B56542">
        <w:t>consumer research methods</w:t>
      </w:r>
    </w:p>
    <w:p w:rsidR="00000000" w:rsidRPr="00B56542" w:rsidP="00B56542">
      <w:pPr>
        <w:pStyle w:val="ListBullet"/>
      </w:pPr>
      <w:r w:rsidRPr="00B56542">
        <w:t>information used to select suitable panellists, such as:</w:t>
      </w:r>
    </w:p>
    <w:p w:rsidR="00000000" w:rsidRPr="00B56542" w:rsidP="00B56542">
      <w:pPr>
        <w:pStyle w:val="ListBullet2"/>
      </w:pPr>
      <w:r w:rsidRPr="00B56542">
        <w:t>workplace procedures, including selection criteria</w:t>
      </w:r>
    </w:p>
    <w:p w:rsidR="00000000" w:rsidRPr="00B56542" w:rsidP="00B56542">
      <w:pPr>
        <w:pStyle w:val="ListBullet2"/>
      </w:pPr>
      <w:r w:rsidRPr="00B56542">
        <w:t>whether people have been trained or not</w:t>
      </w:r>
    </w:p>
    <w:p w:rsidR="00000000" w:rsidRPr="00B56542" w:rsidP="00B56542">
      <w:pPr>
        <w:pStyle w:val="ListBullet2"/>
      </w:pPr>
      <w:r w:rsidRPr="00B56542">
        <w:t>information from an initial screen</w:t>
      </w:r>
      <w:r w:rsidRPr="00B56542">
        <w:t>ing questionnaire</w:t>
      </w:r>
    </w:p>
    <w:p w:rsidR="00000000" w:rsidRPr="00B56542" w:rsidP="00B56542">
      <w:pPr>
        <w:pStyle w:val="ListBullet2"/>
      </w:pPr>
      <w:r w:rsidRPr="00B56542">
        <w:t>availability</w:t>
      </w:r>
    </w:p>
    <w:p w:rsidR="00000000" w:rsidRPr="00B56542" w:rsidP="00B56542">
      <w:pPr>
        <w:pStyle w:val="ListBullet2"/>
      </w:pPr>
      <w:r w:rsidRPr="00B56542">
        <w:t xml:space="preserve">characteristics of unsuitable people, such as smokers </w:t>
      </w:r>
    </w:p>
    <w:p w:rsidR="00000000" w:rsidRPr="00B56542" w:rsidP="00B56542">
      <w:pPr>
        <w:pStyle w:val="ListBullet2"/>
      </w:pPr>
      <w:r w:rsidRPr="00B56542">
        <w:t>sources of bias</w:t>
      </w:r>
    </w:p>
    <w:p w:rsidR="00000000" w:rsidRPr="00B56542" w:rsidP="00B56542">
      <w:pPr>
        <w:pStyle w:val="ListBullet"/>
      </w:pPr>
      <w:r w:rsidRPr="00B56542">
        <w:t>principles of descriptive, discriminative and affective sensory analysis methods</w:t>
      </w:r>
    </w:p>
    <w:p w:rsidR="00000000" w:rsidRPr="00B56542" w:rsidP="00B56542">
      <w:pPr>
        <w:pStyle w:val="ListBullet"/>
      </w:pPr>
      <w:r w:rsidRPr="00B56542">
        <w:t>principles of effective control of the sensory testing environment, such as conditions that can dull sensitivity</w:t>
      </w:r>
    </w:p>
    <w:p w:rsidR="00000000" w:rsidRPr="00B56542" w:rsidP="00B56542">
      <w:pPr>
        <w:pStyle w:val="ListBullet"/>
      </w:pPr>
      <w:r w:rsidRPr="00B56542">
        <w:t>attributes of panellists which could affect the results, such as:</w:t>
      </w:r>
    </w:p>
    <w:p w:rsidR="00000000" w:rsidRPr="00B56542" w:rsidP="00B56542">
      <w:pPr>
        <w:pStyle w:val="ListBullet2"/>
      </w:pPr>
      <w:r w:rsidRPr="00B56542">
        <w:t>age, gender and ethnicity</w:t>
      </w:r>
    </w:p>
    <w:p w:rsidR="00000000" w:rsidRPr="00B56542" w:rsidP="00B56542">
      <w:pPr>
        <w:pStyle w:val="ListBullet2"/>
      </w:pPr>
      <w:r w:rsidRPr="00B56542">
        <w:t>smoking</w:t>
      </w:r>
    </w:p>
    <w:p w:rsidR="00000000" w:rsidRPr="00B56542" w:rsidP="00B56542">
      <w:pPr>
        <w:pStyle w:val="ListBullet2"/>
      </w:pPr>
      <w:r w:rsidRPr="00B56542">
        <w:t>medications</w:t>
      </w:r>
    </w:p>
    <w:p w:rsidR="00000000" w:rsidRPr="00B56542" w:rsidP="00B56542">
      <w:pPr>
        <w:pStyle w:val="ListBullet2"/>
      </w:pPr>
      <w:r w:rsidRPr="00B56542">
        <w:t>qualifications and trained/unt</w:t>
      </w:r>
      <w:r w:rsidRPr="00B56542">
        <w:t>rained</w:t>
      </w:r>
    </w:p>
    <w:p w:rsidR="00000000" w:rsidRPr="00B56542" w:rsidP="00B56542">
      <w:pPr>
        <w:pStyle w:val="ListBullet2"/>
      </w:pPr>
      <w:r w:rsidRPr="00B56542">
        <w:t>random panel</w:t>
      </w:r>
    </w:p>
    <w:p w:rsidR="00000000" w:rsidRPr="00B56542" w:rsidP="00B56542">
      <w:pPr>
        <w:pStyle w:val="ListBullet2"/>
      </w:pPr>
      <w:r w:rsidRPr="00B56542">
        <w:t>cultural food preferences/food styles</w:t>
      </w:r>
    </w:p>
    <w:p w:rsidR="00000000" w:rsidRPr="00B56542" w:rsidP="00B56542">
      <w:pPr>
        <w:pStyle w:val="ListBullet"/>
      </w:pPr>
      <w:r w:rsidRPr="00B56542">
        <w:t>likely causes of variation in results and their control</w:t>
      </w:r>
    </w:p>
    <w:p w:rsidR="00000000" w:rsidRPr="00B56542" w:rsidP="00B56542">
      <w:pPr>
        <w:pStyle w:val="ListBullet"/>
      </w:pPr>
      <w:r w:rsidRPr="00B56542">
        <w:t>work health and safety(WHS) and environment requirements.</w:t>
      </w:r>
    </w:p>
    <w:p w:rsidR="00000000" w:rsidRPr="00B56542" w:rsidP="00B56542">
      <w:pPr>
        <w:pStyle w:val="AllowPageBreak"/>
      </w:pPr>
    </w:p>
    <w:p w:rsidR="00000000" w:rsidRPr="00B56542" w:rsidP="00B56542">
      <w:pPr>
        <w:pStyle w:val="Heading1"/>
      </w:pPr>
      <w:bookmarkStart w:id="4" w:name="O_901518"/>
      <w:bookmarkEnd w:id="4"/>
      <w:r w:rsidRPr="00B56542">
        <w:t>Assessment Conditions</w:t>
      </w:r>
    </w:p>
    <w:p w:rsidR="00000000" w:rsidRPr="00B56542" w:rsidP="00B56542">
      <w:pPr>
        <w:pStyle w:val="ListBullet"/>
      </w:pPr>
      <w:r w:rsidRPr="00B56542">
        <w:t>Judgment of competence must be based on hol</w:t>
      </w:r>
      <w:r w:rsidRPr="00B56542">
        <w:t xml:space="preserve">istic assessment of the evidence. Assessment methods must confirm consistency of performance over time, rather than a single assessment event. </w:t>
      </w:r>
    </w:p>
    <w:p w:rsidR="00000000" w:rsidRPr="00B56542" w:rsidP="00B56542">
      <w:pPr>
        <w:pStyle w:val="ListBullet"/>
      </w:pPr>
      <w:r w:rsidRPr="00B56542">
        <w:t>This unit of competency is to be assessed in the workplace or a simulated workplace environment. A simulated workplace environment must reflect realistic operational workplace conditions that cover all aspects of workplace performance, including the enviro</w:t>
      </w:r>
      <w:r w:rsidRPr="00B56542">
        <w:t xml:space="preserve">nment, task skills, task management skills, contingency management skills and job role environment skills.  </w:t>
      </w:r>
    </w:p>
    <w:p w:rsidR="00000000" w:rsidRPr="00B56542" w:rsidP="00B56542">
      <w:pPr>
        <w:pStyle w:val="ListBullet"/>
      </w:pPr>
      <w:r w:rsidRPr="00B56542">
        <w:t xml:space="preserve">Foundation skills are integral to competent performance of the unit and should not be assessed separately. </w:t>
      </w:r>
    </w:p>
    <w:p w:rsidR="00000000" w:rsidRPr="00B56542" w:rsidP="00B56542">
      <w:pPr>
        <w:pStyle w:val="ListBullet"/>
      </w:pPr>
      <w:r w:rsidRPr="00B56542">
        <w:t>Assessment processes and techniques mus</w:t>
      </w:r>
      <w:r w:rsidRPr="00B56542">
        <w:t>t be appropriate to the language, literacy and numeracy requirements of the work being performed and the needs of the candidate.</w:t>
      </w:r>
    </w:p>
    <w:p w:rsidR="00000000" w:rsidRPr="00B56542" w:rsidP="00B56542">
      <w:pPr>
        <w:pStyle w:val="ListBullet"/>
      </w:pPr>
      <w:r w:rsidRPr="00B56542">
        <w:t>Knowledge evidence may be collected concurrently with performance evidence or through an independent process, such as workbooks</w:t>
      </w:r>
      <w:r w:rsidRPr="00B56542">
        <w:t>, written assessments or interviews (provided a record is kept in each case).</w:t>
      </w:r>
    </w:p>
    <w:p w:rsidR="00000000" w:rsidRPr="00B56542" w:rsidP="00B56542">
      <w:pPr>
        <w:pStyle w:val="ListBullet"/>
      </w:pPr>
      <w:r w:rsidRPr="00B56542">
        <w:t xml:space="preserve">This unit of competency may be assessed with: </w:t>
      </w:r>
    </w:p>
    <w:p w:rsidR="00000000" w:rsidRPr="00B56542" w:rsidP="00B56542">
      <w:pPr>
        <w:pStyle w:val="ListBullet2"/>
      </w:pPr>
      <w:r w:rsidRPr="00B56542">
        <w:t>MSL925001 Analyse data and report results</w:t>
      </w:r>
    </w:p>
    <w:p w:rsidR="00000000" w:rsidRPr="00B56542" w:rsidP="00B56542">
      <w:pPr>
        <w:pStyle w:val="ListBullet"/>
      </w:pPr>
      <w:r w:rsidRPr="00B56542">
        <w:t xml:space="preserve">Holistic assessment methods include: </w:t>
      </w:r>
    </w:p>
    <w:p w:rsidR="00000000" w:rsidRPr="00B56542" w:rsidP="00B56542">
      <w:pPr>
        <w:pStyle w:val="ListBullet2"/>
      </w:pPr>
      <w:r w:rsidRPr="00B56542">
        <w:t>review of written reports, which include an anal</w:t>
      </w:r>
      <w:r w:rsidRPr="00B56542">
        <w:t>ysis of findings from sensory tests, conducted by the candidate</w:t>
      </w:r>
    </w:p>
    <w:p w:rsidR="00000000" w:rsidRPr="00B56542" w:rsidP="00B56542">
      <w:pPr>
        <w:pStyle w:val="ListBullet2"/>
      </w:pPr>
      <w:r w:rsidRPr="00B56542">
        <w:t>observation of candidate conducting panel tests</w:t>
      </w:r>
    </w:p>
    <w:p w:rsidR="00000000" w:rsidRPr="00B56542" w:rsidP="00B56542">
      <w:pPr>
        <w:pStyle w:val="ListBullet2"/>
      </w:pPr>
      <w:r w:rsidRPr="00B56542">
        <w:t>responses to market scenarios and/or case studies</w:t>
      </w:r>
    </w:p>
    <w:p w:rsidR="00000000" w:rsidRPr="00B56542" w:rsidP="00B56542">
      <w:pPr>
        <w:pStyle w:val="ListBullet2"/>
      </w:pPr>
      <w:r w:rsidRPr="00B56542">
        <w:t>written/oral questions to assess required knowledge.</w:t>
      </w:r>
    </w:p>
    <w:p w:rsidR="00000000" w:rsidRPr="00B56542" w:rsidP="00B56542">
      <w:pPr>
        <w:pStyle w:val="ListBullet"/>
      </w:pPr>
      <w:r w:rsidRPr="00B56542">
        <w:t>Access is required to samples, instrumen</w:t>
      </w:r>
      <w:r w:rsidRPr="00B56542">
        <w:t>ts, equipment, materials, workplace documentation, procedures and specifications associated with this unit, including, but not limited to:</w:t>
      </w:r>
    </w:p>
    <w:p w:rsidR="00000000" w:rsidRPr="00B56542" w:rsidP="00B56542">
      <w:pPr>
        <w:pStyle w:val="ListBullet2"/>
      </w:pPr>
      <w:r w:rsidRPr="00B56542">
        <w:t>statistical data sheets and charts, logbooks and scientific calculators</w:t>
      </w:r>
    </w:p>
    <w:p w:rsidR="00000000" w:rsidRPr="00B56542" w:rsidP="00B56542">
      <w:pPr>
        <w:pStyle w:val="ListBullet2"/>
      </w:pPr>
      <w:r w:rsidRPr="00B56542">
        <w:t>relevant ISO Standards and Australian Standa</w:t>
      </w:r>
      <w:r w:rsidRPr="00B56542">
        <w:t>rds</w:t>
      </w:r>
    </w:p>
    <w:p w:rsidR="00000000" w:rsidRPr="00B56542" w:rsidP="00B56542">
      <w:pPr>
        <w:pStyle w:val="ListBullet2"/>
      </w:pPr>
      <w:r w:rsidRPr="00B56542">
        <w:t>a sensory evaluation panel room and group of panellists.</w:t>
      </w:r>
    </w:p>
    <w:p w:rsidR="00000000" w:rsidRPr="00B56542" w:rsidP="00B56542">
      <w:pPr>
        <w:pStyle w:val="ListBullet"/>
      </w:pPr>
      <w:r w:rsidRPr="00B56542">
        <w:t xml:space="preserve">Assessors must satisfy the assessor competency requirements that are in place at the time of the assessment as set by the VET regulator.  </w:t>
      </w:r>
    </w:p>
    <w:p w:rsidR="00000000" w:rsidRPr="00B56542" w:rsidP="00B56542">
      <w:pPr>
        <w:pStyle w:val="ListBullet"/>
      </w:pPr>
      <w:r w:rsidRPr="00B56542">
        <w:t>The assessor must demonstrate both technical competence and currency.</w:t>
      </w:r>
    </w:p>
    <w:p w:rsidR="00000000" w:rsidRPr="00B56542" w:rsidP="00B56542">
      <w:pPr>
        <w:pStyle w:val="ListBullet"/>
      </w:pPr>
      <w:r w:rsidRPr="00B56542">
        <w:t>Technical competence can be demonstrated through:</w:t>
      </w:r>
    </w:p>
    <w:p w:rsidR="00000000" w:rsidRPr="00B56542" w:rsidP="00B56542">
      <w:pPr>
        <w:pStyle w:val="ListBullet2"/>
      </w:pPr>
      <w:r w:rsidRPr="00B56542">
        <w:t>relevant VET or other qualification/Statement of Attainment AND/OR</w:t>
      </w:r>
    </w:p>
    <w:p w:rsidR="00000000" w:rsidRPr="00B56542" w:rsidP="00B56542">
      <w:pPr>
        <w:pStyle w:val="ListBullet2"/>
      </w:pPr>
      <w:r w:rsidRPr="00B56542">
        <w:t>relevant workplace experience.</w:t>
      </w:r>
    </w:p>
    <w:p w:rsidR="00000000" w:rsidRPr="00B56542" w:rsidP="00B56542">
      <w:pPr>
        <w:pStyle w:val="ListBullet"/>
      </w:pPr>
      <w:r w:rsidRPr="00B56542">
        <w:t>Currency can be demonstrated through</w:t>
      </w:r>
      <w:r w:rsidRPr="00B56542">
        <w:t>:</w:t>
      </w:r>
    </w:p>
    <w:p w:rsidR="00000000" w:rsidRPr="00B56542" w:rsidP="00B56542">
      <w:pPr>
        <w:pStyle w:val="ListBullet2"/>
      </w:pPr>
      <w:r w:rsidRPr="00B56542">
        <w:t>performing the competency being assessed as part of current employment OR</w:t>
      </w:r>
    </w:p>
    <w:p w:rsidR="00000000" w:rsidRPr="00B56542" w:rsidP="00B56542">
      <w:pPr>
        <w:pStyle w:val="ListBullet2"/>
      </w:pPr>
      <w:r w:rsidRPr="00B56542">
        <w:t>having consulted with a laboratory about performing the competency being assessed within the last twelve months.</w:t>
      </w:r>
    </w:p>
    <w:p w:rsidR="00000000" w:rsidRPr="00B56542" w:rsidP="00B56542">
      <w:pPr>
        <w:pStyle w:val="AllowPageBreak"/>
      </w:pPr>
    </w:p>
    <w:p w:rsidR="00000000" w:rsidRPr="00B56542" w:rsidP="00B56542">
      <w:pPr>
        <w:pStyle w:val="Heading1"/>
      </w:pPr>
      <w:bookmarkStart w:id="5" w:name="O_901516"/>
      <w:bookmarkEnd w:id="5"/>
      <w:r w:rsidRPr="00B56542">
        <w:t>Links</w:t>
      </w:r>
    </w:p>
    <w:p w:rsidR="00000000" w:rsidRPr="00B56542" w:rsidP="00B56542">
      <w:pPr>
        <w:pStyle w:val="BodyText"/>
      </w:pPr>
      <w:r w:rsidRPr="00B56542">
        <w:t xml:space="preserve">MSA Training Package Implementation Guides </w:t>
      </w:r>
      <w:r w:rsidRPr="00B56542">
        <w:t>- http://mskills.org.au/training-packages/info/</w:t>
      </w:r>
    </w:p>
    <w:p w:rsidR="00000000" w:rsidRPr="00B56542" w:rsidP="00B56542"/>
    <w:sectPr w:rsidSect="00B5654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5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542" w:rsidRPr="007008E7" w:rsidP="007008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5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8E7" w:rsidP="00B565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08E7" w:rsidP="00B565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7008E7" w:rsidP="00B565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5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542" w:rsidRPr="007008E7" w:rsidP="007008E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5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8E7" w:rsidRPr="002D2AF8" w:rsidP="00B565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MSL975005 Conduct sensory analysis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2016</w:t>
    </w:r>
    <w:r>
      <w:fldChar w:fldCharType="end"/>
    </w:r>
  </w:p>
  <w:p w:rsidR="007008E7" w:rsidP="00B565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A2DC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7A9F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2E35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5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65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65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65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65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65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65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65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65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65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65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6542"/>
  </w:style>
  <w:style w:type="character" w:customStyle="1" w:styleId="Heading1Char">
    <w:name w:val="Heading 1 Char"/>
    <w:basedOn w:val="DefaultParagraphFont"/>
    <w:link w:val="Heading1"/>
    <w:rsid w:val="00B565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654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65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654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5654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565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65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65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65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65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65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65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65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65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65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65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65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65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65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65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65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65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65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65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65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65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65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56542"/>
    <w:rPr>
      <w:b/>
      <w:spacing w:val="0"/>
    </w:rPr>
  </w:style>
  <w:style w:type="paragraph" w:customStyle="1" w:styleId="SuperTitle">
    <w:name w:val="SuperTitle"/>
    <w:basedOn w:val="Title"/>
    <w:rsid w:val="00B565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65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65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65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65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65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65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65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65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65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65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65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6542"/>
    <w:rPr>
      <w:i/>
    </w:rPr>
  </w:style>
  <w:style w:type="paragraph" w:styleId="Caption">
    <w:name w:val="caption"/>
    <w:basedOn w:val="BodyText"/>
    <w:next w:val="Normal"/>
    <w:qFormat/>
    <w:rsid w:val="00B565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65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65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6542"/>
  </w:style>
  <w:style w:type="paragraph" w:styleId="TableofFigures">
    <w:name w:val="table of figures"/>
    <w:basedOn w:val="Normal"/>
    <w:next w:val="Normal"/>
    <w:semiHidden/>
    <w:rsid w:val="00B565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6542"/>
    <w:pPr>
      <w:numPr>
        <w:numId w:val="11"/>
      </w:numPr>
    </w:pPr>
  </w:style>
  <w:style w:type="character" w:customStyle="1" w:styleId="WingdingSymbols">
    <w:name w:val="Wingding Symbols"/>
    <w:rsid w:val="00B56542"/>
    <w:rPr>
      <w:rFonts w:ascii="Wingdings" w:hAnsi="Wingdings"/>
    </w:rPr>
  </w:style>
  <w:style w:type="paragraph" w:customStyle="1" w:styleId="TableHeading">
    <w:name w:val="Table Heading"/>
    <w:basedOn w:val="HeadingBase"/>
    <w:rsid w:val="00B565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6542"/>
    <w:rPr>
      <w:color w:val="0033CC"/>
      <w:u w:val="none"/>
    </w:rPr>
  </w:style>
  <w:style w:type="paragraph" w:customStyle="1" w:styleId="BodyTextRight">
    <w:name w:val="Body Text Right"/>
    <w:basedOn w:val="BodyText"/>
    <w:rsid w:val="00B565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65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654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65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65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65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6542"/>
    <w:rPr>
      <w:sz w:val="32"/>
    </w:rPr>
  </w:style>
  <w:style w:type="paragraph" w:customStyle="1" w:styleId="HeadingProcedure">
    <w:name w:val="Heading Procedure"/>
    <w:basedOn w:val="HeadingBase"/>
    <w:next w:val="Normal"/>
    <w:rsid w:val="00B565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6542"/>
    <w:pPr>
      <w:spacing w:before="60" w:after="60"/>
    </w:pPr>
  </w:style>
  <w:style w:type="paragraph" w:styleId="ListContinue">
    <w:name w:val="List Continue"/>
    <w:basedOn w:val="List"/>
    <w:rsid w:val="00B56542"/>
    <w:pPr>
      <w:ind w:firstLine="0"/>
    </w:pPr>
  </w:style>
  <w:style w:type="paragraph" w:customStyle="1" w:styleId="ListNote">
    <w:name w:val="List Note"/>
    <w:basedOn w:val="List"/>
    <w:rsid w:val="00B565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65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65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6542"/>
    <w:rPr>
      <w:rFonts w:ascii="Courier New" w:hAnsi="Courier New"/>
    </w:rPr>
  </w:style>
  <w:style w:type="paragraph" w:customStyle="1" w:styleId="NoteBullet">
    <w:name w:val="Note Bullet"/>
    <w:basedOn w:val="Note"/>
    <w:rsid w:val="00B565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65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65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65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654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565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65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6542"/>
    <w:rPr>
      <w:b/>
      <w:smallCaps/>
    </w:rPr>
  </w:style>
  <w:style w:type="paragraph" w:customStyle="1" w:styleId="TableListNumber">
    <w:name w:val="Table List Number"/>
    <w:basedOn w:val="ListNumber"/>
    <w:rsid w:val="00B565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65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6542"/>
    <w:pPr>
      <w:numPr>
        <w:numId w:val="9"/>
      </w:numPr>
    </w:pPr>
  </w:style>
  <w:style w:type="paragraph" w:customStyle="1" w:styleId="ListAlpha2">
    <w:name w:val="List Alpha 2"/>
    <w:basedOn w:val="List2"/>
    <w:rsid w:val="00B56542"/>
    <w:pPr>
      <w:numPr>
        <w:numId w:val="8"/>
      </w:numPr>
    </w:pPr>
  </w:style>
  <w:style w:type="paragraph" w:styleId="List2">
    <w:name w:val="List 2"/>
    <w:basedOn w:val="BodyText"/>
    <w:rsid w:val="00B565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65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65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65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654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654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6542"/>
    <w:pPr>
      <w:numPr>
        <w:numId w:val="4"/>
      </w:numPr>
    </w:pPr>
  </w:style>
  <w:style w:type="paragraph" w:styleId="ListContinue2">
    <w:name w:val="List Continue 2"/>
    <w:basedOn w:val="List2"/>
    <w:rsid w:val="00B56542"/>
    <w:pPr>
      <w:ind w:firstLine="0"/>
    </w:pPr>
  </w:style>
  <w:style w:type="paragraph" w:styleId="ListContinue3">
    <w:name w:val="List Continue 3"/>
    <w:basedOn w:val="List3"/>
    <w:rsid w:val="00B56542"/>
    <w:pPr>
      <w:ind w:left="1021" w:firstLine="0"/>
    </w:pPr>
  </w:style>
  <w:style w:type="paragraph" w:styleId="ListContinue4">
    <w:name w:val="List Continue 4"/>
    <w:basedOn w:val="List4"/>
    <w:rsid w:val="00B56542"/>
    <w:pPr>
      <w:ind w:firstLine="0"/>
    </w:pPr>
  </w:style>
  <w:style w:type="paragraph" w:styleId="ListContinue5">
    <w:name w:val="List Continue 5"/>
    <w:basedOn w:val="List5"/>
    <w:rsid w:val="00B56542"/>
    <w:pPr>
      <w:ind w:firstLine="0"/>
    </w:pPr>
  </w:style>
  <w:style w:type="paragraph" w:styleId="ListNumber3">
    <w:name w:val="List Number 3"/>
    <w:basedOn w:val="List3"/>
    <w:rsid w:val="00B56542"/>
    <w:pPr>
      <w:numPr>
        <w:numId w:val="5"/>
      </w:numPr>
    </w:pPr>
  </w:style>
  <w:style w:type="paragraph" w:styleId="ListNumber4">
    <w:name w:val="List Number 4"/>
    <w:basedOn w:val="List4"/>
    <w:rsid w:val="00B56542"/>
    <w:pPr>
      <w:numPr>
        <w:numId w:val="6"/>
      </w:numPr>
    </w:pPr>
  </w:style>
  <w:style w:type="paragraph" w:styleId="ListNumber5">
    <w:name w:val="List Number 5"/>
    <w:basedOn w:val="List5"/>
    <w:rsid w:val="00B56542"/>
    <w:pPr>
      <w:numPr>
        <w:numId w:val="7"/>
      </w:numPr>
    </w:pPr>
  </w:style>
  <w:style w:type="paragraph" w:styleId="BlockText">
    <w:name w:val="Block Text"/>
    <w:basedOn w:val="Normal"/>
    <w:rsid w:val="00B565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65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6542"/>
    <w:rPr>
      <w:sz w:val="16"/>
      <w:vertAlign w:val="superscript"/>
    </w:rPr>
  </w:style>
  <w:style w:type="character" w:customStyle="1" w:styleId="Symbols">
    <w:name w:val="Symbols"/>
    <w:basedOn w:val="DefaultParagraphFont"/>
    <w:rsid w:val="00B56542"/>
    <w:rPr>
      <w:rFonts w:ascii="Symbol" w:hAnsi="Symbol"/>
    </w:rPr>
  </w:style>
  <w:style w:type="character" w:customStyle="1" w:styleId="MenuOptions">
    <w:name w:val="Menu Options"/>
    <w:basedOn w:val="DefaultParagraphFont"/>
    <w:rsid w:val="00B565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6542"/>
    <w:rPr>
      <w:b/>
    </w:rPr>
  </w:style>
  <w:style w:type="character" w:customStyle="1" w:styleId="Underlined">
    <w:name w:val="Underlined"/>
    <w:basedOn w:val="DefaultParagraphFont"/>
    <w:rsid w:val="00B56542"/>
    <w:rPr>
      <w:u w:val="single"/>
    </w:rPr>
  </w:style>
  <w:style w:type="paragraph" w:customStyle="1" w:styleId="TableBodyTextRight">
    <w:name w:val="Table Body Text Right"/>
    <w:basedOn w:val="TableBodyText"/>
    <w:rsid w:val="00B565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6542"/>
    <w:rPr>
      <w:sz w:val="18"/>
    </w:rPr>
  </w:style>
  <w:style w:type="paragraph" w:customStyle="1" w:styleId="BodySmallRight">
    <w:name w:val="Body Small Right"/>
    <w:basedOn w:val="BodyTextRight"/>
    <w:rsid w:val="00B56542"/>
    <w:rPr>
      <w:sz w:val="18"/>
      <w:szCs w:val="18"/>
    </w:rPr>
  </w:style>
  <w:style w:type="paragraph" w:customStyle="1" w:styleId="MarginEdition">
    <w:name w:val="Margin Edition"/>
    <w:basedOn w:val="MarginNote"/>
    <w:rsid w:val="00B565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6542"/>
    <w:rPr>
      <w:sz w:val="2"/>
      <w:szCs w:val="2"/>
    </w:rPr>
  </w:style>
  <w:style w:type="character" w:customStyle="1" w:styleId="Small">
    <w:name w:val="Small"/>
    <w:basedOn w:val="DefaultParagraphFont"/>
    <w:rsid w:val="00B56542"/>
    <w:rPr>
      <w:sz w:val="16"/>
    </w:rPr>
  </w:style>
  <w:style w:type="paragraph" w:customStyle="1" w:styleId="WideTable">
    <w:name w:val="Wide Table"/>
    <w:basedOn w:val="Normal"/>
    <w:rsid w:val="00B565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6542"/>
  </w:style>
  <w:style w:type="paragraph" w:styleId="Quote">
    <w:name w:val="Quote"/>
    <w:basedOn w:val="Heading1"/>
    <w:link w:val="QuoteChar"/>
    <w:qFormat/>
    <w:rsid w:val="00B565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65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6542"/>
    <w:pPr>
      <w:pageBreakBefore/>
    </w:pPr>
  </w:style>
  <w:style w:type="paragraph" w:customStyle="1" w:styleId="Border">
    <w:name w:val="Border"/>
    <w:basedOn w:val="Normal"/>
    <w:qFormat/>
    <w:rsid w:val="00B565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65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65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65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65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65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65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65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65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6542"/>
    <w:rPr>
      <w:u w:val="single"/>
    </w:rPr>
  </w:style>
  <w:style w:type="character" w:customStyle="1" w:styleId="BoldandItalics">
    <w:name w:val="Bold and Italics"/>
    <w:qFormat/>
    <w:rsid w:val="00B56542"/>
    <w:rPr>
      <w:b/>
      <w:i/>
      <w:u w:val="none"/>
    </w:rPr>
  </w:style>
  <w:style w:type="paragraph" w:styleId="BalloonText">
    <w:name w:val="Balloon Text"/>
    <w:basedOn w:val="Normal"/>
    <w:link w:val="BalloonTextChar"/>
    <w:rsid w:val="00B565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65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654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65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65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654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644</Words>
  <Characters>4250</Characters>
  <Application>Microsoft Office Word</Application>
  <DocSecurity>0</DocSecurity>
  <Lines>98</Lines>
  <Paragraphs>71</Paragraphs>
  <ScaleCrop>false</ScaleCrop>
  <Company>Author-it Software Corporation Ltd.</Company>
  <LinksUpToDate>false</LinksUpToDate>
  <CharactersWithSpaces>4890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MSL975005 Conduct sensory analysis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2016-03-01T06:29:00Z</dcterms:created>
  <dcterms:modified xsi:type="dcterms:W3CDTF">2016-03-01T06:29:00Z</dcterms:modified>
</cp:coreProperties>
</file>