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E92" w:rsidP="00E37E92">
      <w:pPr>
        <w:pStyle w:val="Title"/>
      </w:pPr>
      <w:r>
        <w:fldChar w:fldCharType="begin"/>
      </w:r>
      <w:r>
        <w:instrText xml:space="preserve"> TITLE   \* MERGEFORMAT </w:instrText>
      </w:r>
      <w:r>
        <w:fldChar w:fldCharType="separate"/>
      </w:r>
      <w:r>
        <w:t>MSL975004 Perform chemical pathology tests</w:t>
      </w:r>
      <w:r>
        <w:fldChar w:fldCharType="end"/>
      </w:r>
    </w:p>
    <w:p w:rsidR="00E37E92" w:rsidP="00E37E92">
      <w:pPr>
        <w:pStyle w:val="Version"/>
        <w:sectPr w:rsidSect="00EF7C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C9B" w:rsidP="00EF7C9B">
      <w:pPr>
        <w:pStyle w:val="SuperHeading"/>
      </w:pPr>
      <w:r w:rsidRPr="00EF7C9B">
        <w:t>MSL975004 Perform chemical pathology tests</w:t>
      </w:r>
    </w:p>
    <w:p w:rsidR="00000000" w:rsidRPr="00EF7C9B" w:rsidP="00EF7C9B">
      <w:pPr>
        <w:pStyle w:val="Heading1"/>
      </w:pPr>
      <w:bookmarkStart w:id="1" w:name="O_901464"/>
      <w:bookmarkEnd w:id="1"/>
      <w:r w:rsidRPr="00EF7C9B">
        <w:t>Modification History</w:t>
      </w:r>
    </w:p>
    <w:p w:rsidR="00000000" w:rsidRPr="00EF7C9B" w:rsidP="00EF7C9B">
      <w:pPr>
        <w:pStyle w:val="BodyText"/>
      </w:pPr>
      <w:r w:rsidRPr="00EF7C9B">
        <w:t>Release 1. Supersedes and is equivalent to MSL975004A Perform chemical pathology tests</w:t>
      </w:r>
    </w:p>
    <w:p w:rsidR="00000000" w:rsidRPr="00EF7C9B" w:rsidP="00EF7C9B">
      <w:pPr>
        <w:pStyle w:val="AllowPageBreak"/>
      </w:pPr>
    </w:p>
    <w:p w:rsidR="00000000" w:rsidRPr="00EF7C9B" w:rsidP="00EF7C9B">
      <w:pPr>
        <w:pStyle w:val="Heading1"/>
      </w:pPr>
      <w:bookmarkStart w:id="2" w:name="O_901472"/>
      <w:bookmarkEnd w:id="2"/>
      <w:r w:rsidRPr="00EF7C9B">
        <w:t>Application</w:t>
      </w:r>
    </w:p>
    <w:p w:rsidR="00000000" w:rsidRPr="00EF7C9B" w:rsidP="00EF7C9B">
      <w:pPr>
        <w:pStyle w:val="BodyText"/>
      </w:pPr>
      <w:r w:rsidRPr="00EF7C9B">
        <w:t>This unit of competency covers the ability to perform tests and procedures associated with the detection and monitoring</w:t>
      </w:r>
      <w:r w:rsidRPr="00EF7C9B">
        <w:t xml:space="preserve"> of tissue and bodily fluid responses to normal physiological processes and disease through the identification and quantifying of chemical components. It covers tests and procedures that are usually associated with the discipline of clinical biochemistry. </w:t>
      </w:r>
    </w:p>
    <w:p w:rsidR="00000000" w:rsidRPr="00EF7C9B" w:rsidP="00EF7C9B">
      <w:pPr>
        <w:pStyle w:val="BodyText"/>
      </w:pPr>
    </w:p>
    <w:p w:rsidR="00000000" w:rsidRPr="00EF7C9B" w:rsidP="00EF7C9B">
      <w:pPr>
        <w:pStyle w:val="BodyText"/>
      </w:pPr>
      <w:r w:rsidRPr="00EF7C9B">
        <w:t xml:space="preserve">The unit of competency is applicable to laboratory technicians working in the biomedical industry sector. The unit principally refers to human pathology but many aspects are relevant to veterinary pathology. This unit of competency describes the testing </w:t>
      </w:r>
      <w:r w:rsidRPr="00EF7C9B">
        <w:t>of tissues, blood, bodily fluids (cerebrospinal fluid, peritoneal and wound aspirates, sweat and sputum), calculi, and excreta (urine and faeces) in laboratories. Tests examine and measure compounds that can give information about alterations in individual</w:t>
      </w:r>
      <w:r w:rsidRPr="00EF7C9B">
        <w:t xml:space="preserve"> physiology and pathology, or compounds, such as therapeutic drugs or drugs of abuse, that will alter normal physiology. The tests are performed in a full or partial computerised and automated environment where large numbers of samples must be managed, ana</w:t>
      </w:r>
      <w:r w:rsidRPr="00EF7C9B">
        <w:t>lysed and their results recorded. This unit of competency assumes that the technical officer would perform tests and procedures under the close supervision of scientific and/or medical staff. Although a supervisor may not always be present, the technical w</w:t>
      </w:r>
      <w:r w:rsidRPr="00EF7C9B">
        <w:t>orker will follow standard operating procedures (SOPs) that clearly describe the scope of permitted practice in modifying testing procedures, interpretation of data and for communicating test results to people outside the laboratory.</w:t>
      </w:r>
    </w:p>
    <w:p w:rsidR="00000000" w:rsidRPr="00EF7C9B" w:rsidP="00EF7C9B">
      <w:pPr>
        <w:pStyle w:val="BodyText"/>
      </w:pPr>
    </w:p>
    <w:p w:rsidR="00000000" w:rsidRPr="00EF7C9B" w:rsidP="00EF7C9B">
      <w:pPr>
        <w:pStyle w:val="BodyText"/>
      </w:pPr>
      <w:r w:rsidRPr="00EF7C9B">
        <w:t>While no specific lic</w:t>
      </w:r>
      <w:r w:rsidRPr="00EF7C9B">
        <w:t>ensing or certification requirements apply to this unit at the time of publication, laboratory operations are governed by relevant legislation, regulations and/or external accreditation requirements. Local requirements should be checked.</w:t>
      </w:r>
    </w:p>
    <w:p w:rsidR="00000000" w:rsidRPr="00EF7C9B" w:rsidP="00EF7C9B">
      <w:pPr>
        <w:pStyle w:val="AllowPageBreak"/>
      </w:pPr>
    </w:p>
    <w:p w:rsidR="00000000" w:rsidRPr="00EF7C9B" w:rsidP="00EF7C9B">
      <w:pPr>
        <w:pStyle w:val="Heading1"/>
      </w:pPr>
      <w:bookmarkStart w:id="3" w:name="O_901471"/>
      <w:bookmarkEnd w:id="3"/>
      <w:r w:rsidRPr="00EF7C9B">
        <w:t>P</w:t>
      </w:r>
      <w:r w:rsidRPr="00EF7C9B">
        <w:t>re-requisite Unit</w:t>
      </w:r>
    </w:p>
    <w:tbl>
      <w:tblPr>
        <w:tblW w:w="0" w:type="auto"/>
        <w:tblCellMar>
          <w:left w:w="62" w:type="dxa"/>
          <w:right w:w="62" w:type="dxa"/>
        </w:tblCellMar>
        <w:tblLook w:val="0000"/>
      </w:tblPr>
      <w:tblGrid>
        <w:gridCol w:w="2163"/>
        <w:gridCol w:w="7033"/>
      </w:tblGrid>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MSL974003</w:t>
            </w:r>
          </w:p>
        </w:tc>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Perform chemical tests or procedures</w:t>
            </w: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MSL974006</w:t>
            </w:r>
          </w:p>
        </w:tc>
        <w:tc>
          <w:tcPr>
            <w:tcW w:w="0" w:type="auto"/>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Perform biological procedures</w:t>
            </w:r>
          </w:p>
        </w:tc>
      </w:tr>
    </w:tbl>
    <w:p w:rsidR="00000000" w:rsidRPr="00EF7C9B" w:rsidP="00EF7C9B">
      <w:pPr>
        <w:pStyle w:val="BodyText"/>
      </w:pPr>
    </w:p>
    <w:p w:rsidR="00000000" w:rsidRPr="00EF7C9B" w:rsidP="00EF7C9B">
      <w:pPr>
        <w:pStyle w:val="AllowPageBreak"/>
      </w:pPr>
    </w:p>
    <w:p w:rsidR="00000000" w:rsidRPr="00EF7C9B" w:rsidP="00EF7C9B">
      <w:pPr>
        <w:pStyle w:val="Heading1"/>
      </w:pPr>
      <w:bookmarkStart w:id="4" w:name="O_901470"/>
      <w:bookmarkEnd w:id="4"/>
      <w:r w:rsidRPr="00EF7C9B">
        <w:t>Competency Field</w:t>
      </w:r>
    </w:p>
    <w:p w:rsidR="00000000" w:rsidRPr="00EF7C9B" w:rsidP="00EF7C9B">
      <w:pPr>
        <w:pStyle w:val="BodyText"/>
      </w:pPr>
      <w:r w:rsidRPr="00EF7C9B">
        <w:t>Testing</w:t>
      </w:r>
    </w:p>
    <w:p w:rsidR="00000000" w:rsidRPr="00EF7C9B" w:rsidP="00EF7C9B">
      <w:pPr>
        <w:pStyle w:val="AllowPageBreak"/>
      </w:pPr>
    </w:p>
    <w:p w:rsidR="00000000" w:rsidRPr="00EF7C9B" w:rsidP="00EF7C9B">
      <w:pPr>
        <w:pStyle w:val="Heading1"/>
      </w:pPr>
      <w:bookmarkStart w:id="5" w:name="O_901469"/>
      <w:bookmarkEnd w:id="5"/>
      <w:r w:rsidRPr="00EF7C9B">
        <w:t>Unit Sector</w:t>
      </w:r>
    </w:p>
    <w:p w:rsidR="00000000" w:rsidRPr="00EF7C9B" w:rsidP="00EF7C9B">
      <w:pPr>
        <w:pStyle w:val="Heading1"/>
      </w:pPr>
      <w:bookmarkStart w:id="6" w:name="O_901468"/>
      <w:bookmarkEnd w:id="6"/>
      <w:r w:rsidRPr="00EF7C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7C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Performance criteria describe the performance needed to demonstrate achievement of the element.</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1</w:t>
            </w:r>
          </w:p>
        </w:tc>
        <w:tc>
          <w:tcPr>
            <w:tcW w:w="1962" w:type="dxa"/>
            <w:vMerge w:val="restart"/>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1.1</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Ensure sample labels and request forms are correctly completed i</w:t>
            </w:r>
            <w:r w:rsidRPr="00EF7C9B">
              <w:t>n accordance with workplace requirements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1.2</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Return samples and request forms that do not comply with requirements to their source with reasons for non-acceptance</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1.3</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Log acceptable samples, applying required document tracking mechanisms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1.4</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Process samples as required by test procedure and request status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1.5</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Store sample components under optimal conditions until required for testing</w:t>
            </w:r>
          </w:p>
        </w:tc>
      </w:tr>
      <w:tr w:rsidTr="00EF7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C9B">
            <w:pPr>
              <w:pStyle w:val="BodyText"/>
              <w:rPr>
                <w:lang w:val="en-NZ"/>
              </w:rPr>
            </w:pP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2</w:t>
            </w:r>
          </w:p>
        </w:tc>
        <w:tc>
          <w:tcPr>
            <w:tcW w:w="1962" w:type="dxa"/>
            <w:vMerge w:val="restart"/>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2.1</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Select authorised tests indicated for the requested investigations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2.2</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Conduct individual tests, or batches of tests, according to documented methodologies, applying required quality control procedures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2.3</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Manage tasks and organise work to ensure efficient use of time</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2.4</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Flag test results that are outside accepted qual</w:t>
            </w:r>
            <w:r w:rsidRPr="00EF7C9B">
              <w:t>ity control limits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2.5</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Apply cognitive and technical processes to discriminate between significant data and artefact</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2.6</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Confirm with supervisor any further testing requirements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2.7</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Record all test data, noting any phenomena that may be relevant to the treatment of data or the interpretation of results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2.8</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Store unused sample for possible future reference</w:t>
            </w:r>
          </w:p>
        </w:tc>
      </w:tr>
      <w:tr w:rsidTr="00EF7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C9B">
            <w:pPr>
              <w:pStyle w:val="BodyText"/>
              <w:rPr>
                <w:lang w:val="en-NZ"/>
              </w:rPr>
            </w:pP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3</w:t>
            </w:r>
          </w:p>
        </w:tc>
        <w:tc>
          <w:tcPr>
            <w:tcW w:w="1962" w:type="dxa"/>
            <w:vMerge w:val="restart"/>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Maintain a safe work area and environment</w:t>
            </w: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3.1</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Use established safe work practices and personal protective equipment (PPE) to ensure personal safety and that of other laboratory personnel</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3.2</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Clean up spills using appropriate techniques to protect personnel, work area and environment</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3.3</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Identify instrument malfunction that may impact on safe operation</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3.4</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Ensure the safe disposal of biohazardous materials and other laboratory waste in accordance with workplace procedures</w:t>
            </w:r>
          </w:p>
        </w:tc>
      </w:tr>
      <w:tr w:rsidTr="00EF7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C9B">
            <w:pPr>
              <w:pStyle w:val="BodyText"/>
              <w:rPr>
                <w:lang w:val="en-NZ"/>
              </w:rPr>
            </w:pP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4</w:t>
            </w:r>
          </w:p>
        </w:tc>
        <w:tc>
          <w:tcPr>
            <w:tcW w:w="1962" w:type="dxa"/>
            <w:vMerge w:val="restart"/>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4.1</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 xml:space="preserve">Make entries on report forms or into computer systems, accurately calculating, recording or transcribing required data </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4.2</w:t>
            </w:r>
          </w:p>
        </w:tc>
        <w:tc>
          <w:tcPr>
            <w:tcW w:w="561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Maintain instrument logs as required by accreditation checklists</w:t>
            </w:r>
          </w:p>
        </w:tc>
      </w:tr>
      <w:tr w:rsidTr="00EF7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4.3</w:t>
            </w:r>
          </w:p>
        </w:tc>
        <w:tc>
          <w:tcPr>
            <w:tcW w:w="5610" w:type="dxa"/>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Maintain security and confidentiality of all clinical inf</w:t>
            </w:r>
            <w:r w:rsidRPr="00EF7C9B">
              <w:t>ormation, laboratory data and records</w:t>
            </w:r>
          </w:p>
        </w:tc>
      </w:tr>
    </w:tbl>
    <w:p w:rsidR="00000000" w:rsidRPr="00EF7C9B" w:rsidP="00EF7C9B">
      <w:pPr>
        <w:pStyle w:val="BodyText"/>
      </w:pPr>
    </w:p>
    <w:p w:rsidR="00000000" w:rsidRPr="00EF7C9B" w:rsidP="00EF7C9B">
      <w:pPr>
        <w:pStyle w:val="AllowPageBreak"/>
      </w:pPr>
    </w:p>
    <w:p w:rsidR="00000000" w:rsidRPr="00EF7C9B" w:rsidP="00EF7C9B">
      <w:pPr>
        <w:pStyle w:val="Heading1"/>
      </w:pPr>
      <w:bookmarkStart w:id="7" w:name="O_901467"/>
      <w:bookmarkEnd w:id="7"/>
      <w:r w:rsidRPr="00EF7C9B">
        <w:t>Foundation Skills</w:t>
      </w:r>
    </w:p>
    <w:p w:rsidR="00000000" w:rsidRPr="00EF7C9B" w:rsidP="00EF7C9B">
      <w:pPr>
        <w:pStyle w:val="BodyText"/>
      </w:pPr>
      <w:r w:rsidRPr="00EF7C9B">
        <w:t>This section describes those language, literacy, numeracy and employment skills that are essential to performance.</w:t>
      </w:r>
    </w:p>
    <w:p w:rsidR="00000000" w:rsidRPr="00EF7C9B" w:rsidP="00EF7C9B">
      <w:pPr>
        <w:pStyle w:val="BodyText"/>
      </w:pPr>
    </w:p>
    <w:p w:rsidR="00000000" w:rsidRPr="00EF7C9B" w:rsidP="00EF7C9B">
      <w:pPr>
        <w:pStyle w:val="BodyText"/>
      </w:pPr>
      <w:r w:rsidRPr="00EF7C9B">
        <w:t>Foundation skills essential to perfo</w:t>
      </w:r>
      <w:r w:rsidRPr="00EF7C9B">
        <w:t>rmance are explicit in the performance criteria of this unit of competency.</w:t>
      </w:r>
    </w:p>
    <w:p w:rsidR="00000000" w:rsidRPr="00EF7C9B" w:rsidP="00EF7C9B">
      <w:pPr>
        <w:pStyle w:val="AllowPageBreak"/>
      </w:pPr>
    </w:p>
    <w:p w:rsidR="00000000" w:rsidRPr="00EF7C9B" w:rsidP="00EF7C9B">
      <w:pPr>
        <w:pStyle w:val="Heading1"/>
      </w:pPr>
      <w:bookmarkStart w:id="8" w:name="O_901466"/>
      <w:bookmarkEnd w:id="8"/>
      <w:r w:rsidRPr="00EF7C9B">
        <w:t>Range of Conditions</w:t>
      </w:r>
    </w:p>
    <w:tbl>
      <w:tblPr>
        <w:tblW w:w="0" w:type="auto"/>
        <w:tblCellMar>
          <w:left w:w="62" w:type="dxa"/>
          <w:right w:w="62" w:type="dxa"/>
        </w:tblCellMar>
        <w:tblLook w:val="0000"/>
      </w:tblPr>
      <w:tblGrid>
        <w:gridCol w:w="2163"/>
        <w:gridCol w:w="7033"/>
      </w:tblGrid>
      <w:tr w:rsidTr="00E37E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t>This field allows for different work environments and conditions that may affect performance. Essential operating conditions that may be presen</w:t>
            </w:r>
            <w:r w:rsidRPr="00EF7C9B">
              <w:t>t (depending on the work situation, needs of the candidate, accessibility of the item, and local industry and regional contexts) are included.</w:t>
            </w: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Standards, codes, procedures and/or workplace requi</w:t>
            </w:r>
            <w:r w:rsidRPr="00EF7C9B">
              <w:t>rements include the latest version of one or more of:</w:t>
            </w:r>
          </w:p>
          <w:p w:rsidR="00000000" w:rsidRPr="00EF7C9B" w:rsidP="00EF7C9B">
            <w:pPr>
              <w:pStyle w:val="ListBullet"/>
            </w:pPr>
            <w:r w:rsidRPr="00EF7C9B">
              <w:t>Australian and international standards, guidelines and codes covering: competence of testing and calibration laboratories, laboratory safety, biological safety cabinets, occupational protective equipme</w:t>
            </w:r>
            <w:r w:rsidRPr="00EF7C9B">
              <w:t>nt, labelling of workplace substances, storage and handling of dangerous goods, physical containment levels and facility types, safety cabinets, work health and safety (WHS), quality and environmental management</w:t>
            </w:r>
          </w:p>
          <w:p w:rsidR="00000000" w:rsidRPr="00EF7C9B" w:rsidP="00EF7C9B">
            <w:pPr>
              <w:pStyle w:val="ListBullet"/>
            </w:pPr>
            <w:r w:rsidRPr="00EF7C9B">
              <w:t>specific industry sector regulations, codes, guidelines and business rules</w:t>
            </w:r>
          </w:p>
          <w:p w:rsidR="00000000" w:rsidRPr="00EF7C9B" w:rsidP="00EF7C9B">
            <w:pPr>
              <w:pStyle w:val="ListBullet"/>
            </w:pPr>
            <w:r w:rsidRPr="00EF7C9B">
              <w:t>workplace documents, such as SOPs; quality procedures; equipment manuals; calibration and maintenance schedules; material safety data sheets (MSDS) and safety procedures; laboratory</w:t>
            </w:r>
            <w:r w:rsidRPr="00EF7C9B">
              <w:t xml:space="preserve"> schedules; workplace recording and reporting procedures; waste minimisation, containment, processing and safe disposal procedures; and cleaning, hygiene and personal hygiene requirements</w:t>
            </w:r>
          </w:p>
          <w:p w:rsidR="00000000" w:rsidRPr="00EF7C9B" w:rsidP="00EF7C9B">
            <w:pPr>
              <w:pStyle w:val="ListBullet"/>
            </w:pPr>
            <w:r w:rsidRPr="00EF7C9B">
              <w:t>instructions to comply with new legislation, standards, guidelines a</w:t>
            </w:r>
            <w:r w:rsidRPr="00EF7C9B">
              <w:t>nd codes</w:t>
            </w:r>
          </w:p>
          <w:p w:rsidR="00000000" w:rsidRPr="00EF7C9B" w:rsidP="00EF7C9B">
            <w:pPr>
              <w:pStyle w:val="ListBullet"/>
            </w:pPr>
            <w:r w:rsidRPr="00EF7C9B">
              <w:t>sampling procedures (labelling, preparation, storage, transport and disposal) and test procedures (validated and authorised)</w:t>
            </w:r>
          </w:p>
          <w:p w:rsidR="00000000" w:rsidRPr="00EF7C9B" w:rsidP="00EF7C9B">
            <w:pPr>
              <w:pStyle w:val="ListBullet"/>
            </w:pPr>
            <w:r w:rsidRPr="00EF7C9B">
              <w:t>schematics, work flows, and laboratory stock records and inventory</w:t>
            </w:r>
          </w:p>
          <w:p w:rsidR="00000000" w:rsidP="00EF7C9B">
            <w:pPr>
              <w:pStyle w:val="BodyText"/>
              <w:rPr>
                <w:lang w:val="en-NZ"/>
              </w:rPr>
            </w:pP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Communication involves interactions wi</w:t>
            </w:r>
            <w:r w:rsidRPr="00EF7C9B">
              <w:t>th one or more of:</w:t>
            </w:r>
          </w:p>
          <w:p w:rsidR="00000000" w:rsidRPr="00EF7C9B" w:rsidP="00EF7C9B">
            <w:pPr>
              <w:pStyle w:val="ListBullet"/>
            </w:pPr>
            <w:r w:rsidRPr="00EF7C9B">
              <w:t>supervisors and managers (laboratory, quality and customer service)</w:t>
            </w:r>
          </w:p>
          <w:p w:rsidR="00000000" w:rsidRPr="00EF7C9B" w:rsidP="00EF7C9B">
            <w:pPr>
              <w:pStyle w:val="ListBullet"/>
            </w:pPr>
            <w:r w:rsidRPr="00EF7C9B">
              <w:t>other laboratory or clinical personnel</w:t>
            </w:r>
          </w:p>
          <w:p w:rsidR="00000000" w:rsidRPr="00EF7C9B" w:rsidP="00EF7C9B">
            <w:pPr>
              <w:pStyle w:val="ListBullet"/>
            </w:pPr>
            <w:r w:rsidRPr="00EF7C9B">
              <w:t>patients and clients</w:t>
            </w:r>
          </w:p>
          <w:p w:rsidR="00000000" w:rsidRPr="00EF7C9B" w:rsidP="00EF7C9B">
            <w:pPr>
              <w:pStyle w:val="ListBullet"/>
            </w:pPr>
            <w:r w:rsidRPr="00EF7C9B">
              <w:t>external auditors and accreditation agencies (e.g. National Association of Testing Authorities (NATA))</w:t>
            </w:r>
          </w:p>
          <w:p w:rsidR="00000000" w:rsidP="00EF7C9B">
            <w:pPr>
              <w:pStyle w:val="BodyText"/>
              <w:rPr>
                <w:lang w:val="en-NZ"/>
              </w:rPr>
            </w:pP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Safe work practices include, but are not limited to, one or more of:</w:t>
            </w:r>
          </w:p>
          <w:p w:rsidR="00000000" w:rsidRPr="00EF7C9B" w:rsidP="00EF7C9B">
            <w:pPr>
              <w:pStyle w:val="ListBullet"/>
            </w:pPr>
            <w:r w:rsidRPr="00EF7C9B">
              <w:t>ensuring access to service shut-off points</w:t>
            </w:r>
          </w:p>
          <w:p w:rsidR="00000000" w:rsidRPr="00EF7C9B" w:rsidP="00EF7C9B">
            <w:pPr>
              <w:pStyle w:val="ListBullet"/>
            </w:pPr>
            <w:r w:rsidRPr="00EF7C9B">
              <w:t>recognising and observing hazard warnings and safety signs</w:t>
            </w:r>
          </w:p>
          <w:p w:rsidR="00000000" w:rsidRPr="00EF7C9B" w:rsidP="00EF7C9B">
            <w:pPr>
              <w:pStyle w:val="ListBullet"/>
            </w:pPr>
            <w:r w:rsidRPr="00EF7C9B">
              <w:t xml:space="preserve">labelling of samples, reagents, aliquoted samples and hazardous </w:t>
            </w:r>
            <w:r w:rsidRPr="00EF7C9B">
              <w:t>materials</w:t>
            </w:r>
          </w:p>
          <w:p w:rsidR="00000000" w:rsidRPr="00EF7C9B" w:rsidP="00EF7C9B">
            <w:pPr>
              <w:pStyle w:val="ListBullet"/>
            </w:pPr>
            <w:r w:rsidRPr="00EF7C9B">
              <w:t>handling and storage of hazardous materials and equipment in accordance with labelling, MSDS and manufacturer instructions</w:t>
            </w:r>
          </w:p>
          <w:p w:rsidR="00000000" w:rsidRPr="00EF7C9B" w:rsidP="00EF7C9B">
            <w:pPr>
              <w:pStyle w:val="ListBullet"/>
            </w:pPr>
            <w:r w:rsidRPr="00EF7C9B">
              <w:t>identifying and reporting operating problems or equipment malfunctions</w:t>
            </w:r>
          </w:p>
          <w:p w:rsidR="00000000" w:rsidRPr="00EF7C9B" w:rsidP="00EF7C9B">
            <w:pPr>
              <w:pStyle w:val="ListBullet"/>
            </w:pPr>
            <w:r w:rsidRPr="00EF7C9B">
              <w:t>cleaning and decontaminating equipment and work area</w:t>
            </w:r>
            <w:r w:rsidRPr="00EF7C9B">
              <w:t>s regularly using workplace procedures</w:t>
            </w:r>
          </w:p>
          <w:p w:rsidR="00000000" w:rsidRPr="00EF7C9B" w:rsidP="00EF7C9B">
            <w:pPr>
              <w:pStyle w:val="ListBullet"/>
            </w:pPr>
            <w:r w:rsidRPr="00EF7C9B">
              <w:t>using PPE, such as gloves, safety glasses, coveralls and gowns</w:t>
            </w:r>
          </w:p>
          <w:p w:rsidR="00000000" w:rsidRPr="00EF7C9B" w:rsidP="00EF7C9B">
            <w:pPr>
              <w:pStyle w:val="ListBullet"/>
            </w:pPr>
            <w:r w:rsidRPr="00EF7C9B">
              <w:t>using containment facilities (e.g. PCII, PCIII and PCIV physical containment laboratories), containment equipment (e.g. biohazard containers, laminar flow</w:t>
            </w:r>
            <w:r w:rsidRPr="00EF7C9B">
              <w:t xml:space="preserve"> cabinets, Class I, II and III biohazard cabinets) and containment procedures</w:t>
            </w:r>
          </w:p>
          <w:p w:rsidR="00000000" w:rsidP="00EF7C9B">
            <w:pPr>
              <w:pStyle w:val="BodyText"/>
              <w:rPr>
                <w:lang w:val="en-NZ"/>
              </w:rPr>
            </w:pPr>
          </w:p>
        </w:tc>
      </w:tr>
      <w:tr w:rsidTr="00E37E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C9B">
            <w:pPr>
              <w:pStyle w:val="BodyText"/>
              <w:rPr>
                <w:lang w:val="en-NZ"/>
              </w:rPr>
            </w:pPr>
            <w:r w:rsidRPr="00EF7C9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F7C9B" w:rsidP="00EF7C9B">
            <w:pPr>
              <w:pStyle w:val="BodyText"/>
            </w:pPr>
            <w:r w:rsidRPr="00EF7C9B">
              <w:t>WHS and environmental management requirements include:</w:t>
            </w:r>
          </w:p>
          <w:p w:rsidR="00000000" w:rsidRPr="00EF7C9B" w:rsidP="00EF7C9B">
            <w:pPr>
              <w:pStyle w:val="BodyText"/>
            </w:pPr>
            <w:r w:rsidRPr="00EF7C9B">
              <w:rPr>
                <w:rStyle w:val="Symbols"/>
              </w:rPr>
              <w:t></w:t>
            </w:r>
            <w:r w:rsidRPr="00EF7C9B">
              <w:rPr>
                <w:rStyle w:val="Symbols"/>
              </w:rPr>
              <w:tab/>
            </w:r>
            <w:r w:rsidRPr="00EF7C9B">
              <w:t>complying with WHS and environmental management requirements at all time</w:t>
            </w:r>
            <w:r w:rsidRPr="00EF7C9B">
              <w:t>s, which may be imposed through state/territory or federal legislation. These requirements must not be compromised at any time</w:t>
            </w:r>
          </w:p>
          <w:p w:rsidR="00000000" w:rsidRPr="00EF7C9B" w:rsidP="00EF7C9B">
            <w:pPr>
              <w:pStyle w:val="BodyText"/>
            </w:pPr>
            <w:r w:rsidRPr="00EF7C9B">
              <w:rPr>
                <w:rStyle w:val="Symbols"/>
              </w:rPr>
              <w:t></w:t>
            </w:r>
            <w:r w:rsidRPr="00EF7C9B">
              <w:rPr>
                <w:rStyle w:val="Symbols"/>
              </w:rPr>
              <w:tab/>
            </w:r>
            <w:r w:rsidRPr="00EF7C9B">
              <w:t>applying standard precautions relating to the potentially hazardous nature of samples</w:t>
            </w:r>
          </w:p>
          <w:p w:rsidR="00000000" w:rsidRPr="00EF7C9B" w:rsidP="00EF7C9B">
            <w:pPr>
              <w:pStyle w:val="ListBullet"/>
            </w:pPr>
            <w:r w:rsidRPr="00EF7C9B">
              <w:t>accessin</w:t>
            </w:r>
            <w:r w:rsidRPr="00EF7C9B">
              <w:t>g and applying current industry understanding of infection control issued by the National Health and Medical Research Council (NHMRC) and State and Territory Departments of Health, where relevant</w:t>
            </w:r>
          </w:p>
        </w:tc>
      </w:tr>
    </w:tbl>
    <w:p w:rsidR="00000000" w:rsidRPr="00EF7C9B" w:rsidP="00EF7C9B">
      <w:pPr>
        <w:pStyle w:val="BodyText"/>
      </w:pPr>
    </w:p>
    <w:p w:rsidR="00000000" w:rsidRPr="00EF7C9B" w:rsidP="00EF7C9B">
      <w:pPr>
        <w:pStyle w:val="AllowPageBreak"/>
      </w:pPr>
    </w:p>
    <w:p w:rsidR="00000000" w:rsidRPr="00EF7C9B" w:rsidP="00EF7C9B">
      <w:pPr>
        <w:pStyle w:val="Heading1"/>
      </w:pPr>
      <w:bookmarkStart w:id="9" w:name="O_901465"/>
      <w:bookmarkEnd w:id="9"/>
      <w:r w:rsidRPr="00EF7C9B">
        <w:t>Unit Mapping Information</w:t>
      </w:r>
    </w:p>
    <w:p w:rsidR="00000000" w:rsidRPr="00EF7C9B" w:rsidP="00EF7C9B">
      <w:pPr>
        <w:pStyle w:val="BodyText"/>
      </w:pPr>
      <w:r w:rsidRPr="00EF7C9B">
        <w:t>Release 1. Super</w:t>
      </w:r>
      <w:r w:rsidRPr="00EF7C9B">
        <w:t>sedes and is equivalent to MSL975004A Perform chemical pathology tests</w:t>
      </w:r>
    </w:p>
    <w:p w:rsidR="00000000" w:rsidRPr="00EF7C9B" w:rsidP="00EF7C9B">
      <w:pPr>
        <w:pStyle w:val="AllowPageBreak"/>
      </w:pPr>
    </w:p>
    <w:p w:rsidR="00000000" w:rsidRPr="00EF7C9B" w:rsidP="00EF7C9B">
      <w:pPr>
        <w:pStyle w:val="Heading1"/>
      </w:pPr>
      <w:bookmarkStart w:id="10" w:name="O_901458"/>
      <w:bookmarkEnd w:id="10"/>
      <w:r w:rsidRPr="00EF7C9B">
        <w:t>Links</w:t>
      </w:r>
    </w:p>
    <w:p w:rsidR="00000000" w:rsidRPr="00EF7C9B" w:rsidP="00EF7C9B">
      <w:pPr>
        <w:pStyle w:val="BodyText"/>
      </w:pPr>
      <w:r w:rsidRPr="00EF7C9B">
        <w:t>MSA Training Package Implementation Guides - http://mskills.org.au/training-packages/info/</w:t>
      </w:r>
    </w:p>
    <w:p w:rsidR="00000000" w:rsidRPr="00EF7C9B" w:rsidP="00EF7C9B"/>
    <w:sectPr w:rsidSect="00EF7C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rsidRPr="00E37E92" w:rsidP="00E37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2" w:rsidP="00EF7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7E92" w:rsidP="00EF7C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7E92" w:rsidP="00EF7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rsidRPr="00E37E92" w:rsidP="00E37E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2" w:rsidRPr="002D2AF8" w:rsidP="00EF7C9B">
    <w:pPr>
      <w:pStyle w:val="Header"/>
      <w:framePr w:wrap="around"/>
    </w:pPr>
    <w:r>
      <w:fldChar w:fldCharType="begin"/>
    </w:r>
    <w:r>
      <w:instrText xml:space="preserve"> TITLE   \* MERGEFORMAT </w:instrText>
    </w:r>
    <w:r>
      <w:fldChar w:fldCharType="separate"/>
    </w:r>
    <w:r>
      <w:t>MSL975004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37E92" w:rsidP="00EF7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E1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AE3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C9B"/>
    <w:pPr>
      <w:spacing w:before="360" w:after="60"/>
      <w:outlineLvl w:val="0"/>
    </w:pPr>
    <w:rPr>
      <w:sz w:val="32"/>
    </w:rPr>
  </w:style>
  <w:style w:type="paragraph" w:styleId="Heading2">
    <w:name w:val="heading 2"/>
    <w:basedOn w:val="HeadingBase"/>
    <w:next w:val="BodyText"/>
    <w:link w:val="Heading2Char"/>
    <w:qFormat/>
    <w:rsid w:val="00EF7C9B"/>
    <w:pPr>
      <w:keepLines/>
      <w:spacing w:before="240" w:after="120"/>
      <w:outlineLvl w:val="1"/>
    </w:pPr>
    <w:rPr>
      <w:sz w:val="28"/>
      <w:szCs w:val="40"/>
    </w:rPr>
  </w:style>
  <w:style w:type="paragraph" w:styleId="Heading3">
    <w:name w:val="heading 3"/>
    <w:basedOn w:val="HeadingBase"/>
    <w:next w:val="BodyText"/>
    <w:link w:val="Heading3Char"/>
    <w:qFormat/>
    <w:rsid w:val="00EF7C9B"/>
    <w:pPr>
      <w:spacing w:before="180" w:after="120"/>
      <w:outlineLvl w:val="2"/>
    </w:pPr>
    <w:rPr>
      <w:spacing w:val="-10"/>
      <w:kern w:val="32"/>
    </w:rPr>
  </w:style>
  <w:style w:type="paragraph" w:styleId="Heading4">
    <w:name w:val="heading 4"/>
    <w:basedOn w:val="HeadingBase"/>
    <w:next w:val="BodyText"/>
    <w:link w:val="Heading4Char"/>
    <w:qFormat/>
    <w:rsid w:val="00EF7C9B"/>
    <w:pPr>
      <w:spacing w:before="160" w:after="120"/>
      <w:outlineLvl w:val="3"/>
    </w:pPr>
    <w:rPr>
      <w:sz w:val="22"/>
    </w:rPr>
  </w:style>
  <w:style w:type="paragraph" w:styleId="Heading5">
    <w:name w:val="heading 5"/>
    <w:basedOn w:val="HeadingBase"/>
    <w:next w:val="Normal"/>
    <w:link w:val="Heading5Char"/>
    <w:qFormat/>
    <w:rsid w:val="00EF7C9B"/>
    <w:pPr>
      <w:spacing w:before="80"/>
      <w:outlineLvl w:val="4"/>
    </w:pPr>
    <w:rPr>
      <w:color w:val="918585"/>
      <w:sz w:val="20"/>
    </w:rPr>
  </w:style>
  <w:style w:type="paragraph" w:styleId="Heading6">
    <w:name w:val="heading 6"/>
    <w:basedOn w:val="HeadingBase"/>
    <w:next w:val="Normal"/>
    <w:link w:val="Heading6Char"/>
    <w:qFormat/>
    <w:rsid w:val="00EF7C9B"/>
    <w:pPr>
      <w:spacing w:before="60"/>
      <w:outlineLvl w:val="5"/>
    </w:pPr>
    <w:rPr>
      <w:color w:val="918585"/>
      <w:sz w:val="20"/>
    </w:rPr>
  </w:style>
  <w:style w:type="paragraph" w:styleId="Heading7">
    <w:name w:val="heading 7"/>
    <w:basedOn w:val="Normal"/>
    <w:next w:val="Normal"/>
    <w:link w:val="Heading7Char"/>
    <w:qFormat/>
    <w:rsid w:val="00EF7C9B"/>
    <w:pPr>
      <w:ind w:left="720"/>
      <w:outlineLvl w:val="6"/>
    </w:pPr>
    <w:rPr>
      <w:i/>
    </w:rPr>
  </w:style>
  <w:style w:type="paragraph" w:styleId="Heading8">
    <w:name w:val="heading 8"/>
    <w:basedOn w:val="Normal"/>
    <w:next w:val="Normal"/>
    <w:link w:val="Heading8Char"/>
    <w:qFormat/>
    <w:rsid w:val="00EF7C9B"/>
    <w:pPr>
      <w:ind w:left="720"/>
      <w:outlineLvl w:val="7"/>
    </w:pPr>
    <w:rPr>
      <w:i/>
    </w:rPr>
  </w:style>
  <w:style w:type="paragraph" w:styleId="Heading9">
    <w:name w:val="heading 9"/>
    <w:basedOn w:val="Normal"/>
    <w:next w:val="Normal"/>
    <w:link w:val="Heading9Char"/>
    <w:qFormat/>
    <w:rsid w:val="00EF7C9B"/>
    <w:pPr>
      <w:ind w:left="720"/>
      <w:outlineLvl w:val="8"/>
    </w:pPr>
    <w:rPr>
      <w:i/>
    </w:rPr>
  </w:style>
  <w:style w:type="character" w:default="1" w:styleId="DefaultParagraphFont">
    <w:name w:val="Default Paragraph Font"/>
    <w:uiPriority w:val="1"/>
    <w:unhideWhenUsed/>
    <w:rsid w:val="00EF7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C9B"/>
  </w:style>
  <w:style w:type="character" w:customStyle="1" w:styleId="Heading1Char">
    <w:name w:val="Heading 1 Char"/>
    <w:basedOn w:val="DefaultParagraphFont"/>
    <w:link w:val="Heading1"/>
    <w:rsid w:val="00EF7C9B"/>
    <w:rPr>
      <w:rFonts w:ascii="Times New Roman" w:eastAsia="Times New Roman" w:hAnsi="Times New Roman" w:cs="Times New Roman"/>
      <w:b/>
      <w:sz w:val="32"/>
      <w:szCs w:val="20"/>
      <w:lang w:eastAsia="en-US"/>
    </w:rPr>
  </w:style>
  <w:style w:type="paragraph" w:styleId="BodyText">
    <w:name w:val="Body Text"/>
    <w:basedOn w:val="Normal"/>
    <w:link w:val="BodyTextChar"/>
    <w:rsid w:val="00EF7C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C9B"/>
    <w:rPr>
      <w:rFonts w:ascii="Times New Roman" w:eastAsia="Times New Roman" w:hAnsi="Times New Roman" w:cs="Times New Roman"/>
      <w:sz w:val="24"/>
      <w:lang w:eastAsia="en-US"/>
    </w:rPr>
  </w:style>
  <w:style w:type="paragraph" w:styleId="ListBullet">
    <w:name w:val="List Bullet"/>
    <w:basedOn w:val="List"/>
    <w:rsid w:val="00EF7C9B"/>
    <w:pPr>
      <w:numPr>
        <w:numId w:val="12"/>
      </w:numPr>
      <w:tabs>
        <w:tab w:val="clear" w:pos="340"/>
      </w:tabs>
      <w:spacing w:before="40" w:after="40"/>
    </w:pPr>
  </w:style>
  <w:style w:type="character" w:customStyle="1" w:styleId="SpecialBold">
    <w:name w:val="Special Bold"/>
    <w:basedOn w:val="DefaultParagraphFont"/>
    <w:rsid w:val="00EF7C9B"/>
    <w:rPr>
      <w:b/>
      <w:spacing w:val="0"/>
    </w:rPr>
  </w:style>
  <w:style w:type="paragraph" w:customStyle="1" w:styleId="SuperHeading">
    <w:name w:val="SuperHeading"/>
    <w:basedOn w:val="Normal"/>
    <w:rsid w:val="00EF7C9B"/>
    <w:pPr>
      <w:spacing w:before="240" w:after="120"/>
      <w:outlineLvl w:val="0"/>
    </w:pPr>
    <w:rPr>
      <w:rFonts w:ascii="Times New Roman" w:hAnsi="Times New Roman"/>
      <w:b/>
      <w:sz w:val="32"/>
    </w:rPr>
  </w:style>
  <w:style w:type="paragraph" w:customStyle="1" w:styleId="AllowPageBreak">
    <w:name w:val="AllowPageBreak"/>
    <w:rsid w:val="00EF7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F7C9B"/>
    <w:rPr>
      <w:rFonts w:ascii="Symbol" w:hAnsi="Symbol"/>
    </w:rPr>
  </w:style>
  <w:style w:type="character" w:customStyle="1" w:styleId="Heading2Char">
    <w:name w:val="Heading 2 Char"/>
    <w:basedOn w:val="DefaultParagraphFont"/>
    <w:link w:val="Heading2"/>
    <w:rsid w:val="00EF7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C9B"/>
    <w:rPr>
      <w:rFonts w:ascii="Courier New" w:eastAsia="Times New Roman" w:hAnsi="Courier New" w:cs="Times New Roman"/>
      <w:i/>
      <w:szCs w:val="20"/>
      <w:lang w:eastAsia="en-US"/>
    </w:rPr>
  </w:style>
  <w:style w:type="paragraph" w:customStyle="1" w:styleId="HeadingBase">
    <w:name w:val="Heading Base"/>
    <w:rsid w:val="00EF7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C9B"/>
    <w:pPr>
      <w:tabs>
        <w:tab w:val="right" w:leader="dot" w:pos="9072"/>
      </w:tabs>
      <w:ind w:left="567"/>
    </w:pPr>
    <w:rPr>
      <w:szCs w:val="22"/>
    </w:rPr>
  </w:style>
  <w:style w:type="paragraph" w:customStyle="1" w:styleId="TOCBase">
    <w:name w:val="TOC Base"/>
    <w:rsid w:val="00EF7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C9B"/>
    <w:pPr>
      <w:tabs>
        <w:tab w:val="right" w:leader="dot" w:pos="9072"/>
      </w:tabs>
      <w:spacing w:before="40" w:after="40"/>
      <w:ind w:left="284"/>
    </w:pPr>
    <w:rPr>
      <w:rFonts w:ascii="Times New Roman" w:hAnsi="Times New Roman"/>
    </w:rPr>
  </w:style>
  <w:style w:type="paragraph" w:styleId="TOC1">
    <w:name w:val="toc 1"/>
    <w:basedOn w:val="TOCBase"/>
    <w:next w:val="Normal"/>
    <w:rsid w:val="00EF7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C9B"/>
    <w:rPr>
      <w:rFonts w:ascii="Times New Roman" w:eastAsia="Times New Roman" w:hAnsi="Times New Roman" w:cs="Times New Roman"/>
      <w:sz w:val="16"/>
      <w:lang w:eastAsia="en-US"/>
    </w:rPr>
  </w:style>
  <w:style w:type="paragraph" w:styleId="Title">
    <w:name w:val="Title"/>
    <w:basedOn w:val="HeadingBase"/>
    <w:link w:val="TitleChar"/>
    <w:qFormat/>
    <w:rsid w:val="00EF7C9B"/>
    <w:pPr>
      <w:spacing w:before="5040"/>
      <w:jc w:val="center"/>
    </w:pPr>
    <w:rPr>
      <w:sz w:val="48"/>
      <w:szCs w:val="72"/>
      <w:lang w:val="en-US"/>
    </w:rPr>
  </w:style>
  <w:style w:type="character" w:customStyle="1" w:styleId="TitleChar">
    <w:name w:val="Title Char"/>
    <w:basedOn w:val="DefaultParagraphFont"/>
    <w:link w:val="Title"/>
    <w:rsid w:val="00EF7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C9B"/>
    <w:pPr>
      <w:tabs>
        <w:tab w:val="left" w:pos="3600"/>
        <w:tab w:val="left" w:pos="3958"/>
      </w:tabs>
    </w:pPr>
  </w:style>
  <w:style w:type="paragraph" w:styleId="List">
    <w:name w:val="List"/>
    <w:basedOn w:val="BodyText"/>
    <w:next w:val="BodyText"/>
    <w:rsid w:val="00EF7C9B"/>
    <w:pPr>
      <w:tabs>
        <w:tab w:val="left" w:pos="340"/>
      </w:tabs>
      <w:spacing w:before="60" w:after="60"/>
      <w:ind w:left="340" w:hanging="340"/>
    </w:pPr>
  </w:style>
  <w:style w:type="paragraph" w:customStyle="1" w:styleId="Note">
    <w:name w:val="Note"/>
    <w:basedOn w:val="BodyText"/>
    <w:rsid w:val="00EF7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C9B"/>
    <w:pPr>
      <w:framePr w:wrap="auto" w:hAnchor="text" w:y="6049"/>
    </w:pPr>
    <w:rPr>
      <w:color w:val="000000"/>
      <w:sz w:val="40"/>
    </w:rPr>
  </w:style>
  <w:style w:type="paragraph" w:customStyle="1" w:styleId="TOCTitle">
    <w:name w:val="TOCTitle"/>
    <w:basedOn w:val="Heading1"/>
    <w:rsid w:val="00EF7C9B"/>
    <w:pPr>
      <w:spacing w:after="240"/>
      <w:jc w:val="center"/>
      <w:outlineLvl w:val="9"/>
    </w:pPr>
    <w:rPr>
      <w:caps/>
    </w:rPr>
  </w:style>
  <w:style w:type="paragraph" w:customStyle="1" w:styleId="Version">
    <w:name w:val="Version"/>
    <w:rsid w:val="00EF7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C9B"/>
    <w:pPr>
      <w:numPr>
        <w:numId w:val="13"/>
      </w:numPr>
      <w:tabs>
        <w:tab w:val="clear" w:pos="680"/>
      </w:tabs>
    </w:pPr>
  </w:style>
  <w:style w:type="paragraph" w:styleId="Index1">
    <w:name w:val="index 1"/>
    <w:basedOn w:val="Normal"/>
    <w:next w:val="Normal"/>
    <w:semiHidden/>
    <w:rsid w:val="00EF7C9B"/>
    <w:pPr>
      <w:keepNext w:val="0"/>
      <w:tabs>
        <w:tab w:val="right" w:pos="4176"/>
      </w:tabs>
      <w:ind w:left="198" w:hanging="198"/>
    </w:pPr>
    <w:rPr>
      <w:rFonts w:ascii="Garamond" w:hAnsi="Garamond"/>
    </w:rPr>
  </w:style>
  <w:style w:type="paragraph" w:styleId="IndexHeading">
    <w:name w:val="index heading"/>
    <w:basedOn w:val="Normal"/>
    <w:next w:val="Index1"/>
    <w:semiHidden/>
    <w:rsid w:val="00EF7C9B"/>
    <w:pPr>
      <w:spacing w:before="120" w:after="120"/>
    </w:pPr>
    <w:rPr>
      <w:rFonts w:ascii="Arial" w:hAnsi="Arial"/>
      <w:b/>
      <w:color w:val="918585"/>
      <w:sz w:val="24"/>
    </w:rPr>
  </w:style>
  <w:style w:type="paragraph" w:styleId="Header">
    <w:name w:val="header"/>
    <w:basedOn w:val="Normal"/>
    <w:link w:val="HeaderChar"/>
    <w:rsid w:val="00EF7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C9B"/>
    <w:rPr>
      <w:rFonts w:ascii="Times New Roman" w:eastAsia="Times New Roman" w:hAnsi="Times New Roman" w:cs="Times New Roman"/>
      <w:sz w:val="16"/>
      <w:szCs w:val="20"/>
      <w:lang w:val="en-GB" w:eastAsia="en-US"/>
    </w:rPr>
  </w:style>
  <w:style w:type="paragraph" w:customStyle="1" w:styleId="Chapter">
    <w:name w:val="Chapter"/>
    <w:basedOn w:val="Normal"/>
    <w:rsid w:val="00EF7C9B"/>
    <w:pPr>
      <w:spacing w:before="240"/>
    </w:pPr>
    <w:rPr>
      <w:rFonts w:ascii="Times New Roman" w:hAnsi="Times New Roman"/>
      <w:smallCaps/>
      <w:spacing w:val="80"/>
      <w:sz w:val="28"/>
    </w:rPr>
  </w:style>
  <w:style w:type="paragraph" w:customStyle="1" w:styleId="InChapter">
    <w:name w:val="InChapter"/>
    <w:basedOn w:val="Heading3"/>
    <w:rsid w:val="00EF7C9B"/>
    <w:pPr>
      <w:spacing w:after="240"/>
      <w:outlineLvl w:val="9"/>
    </w:pPr>
    <w:rPr>
      <w:noProof/>
    </w:rPr>
  </w:style>
  <w:style w:type="paragraph" w:styleId="Index2">
    <w:name w:val="index 2"/>
    <w:basedOn w:val="Normal"/>
    <w:next w:val="Normal"/>
    <w:semiHidden/>
    <w:rsid w:val="00EF7C9B"/>
    <w:pPr>
      <w:tabs>
        <w:tab w:val="right" w:pos="4176"/>
      </w:tabs>
      <w:ind w:left="568" w:hanging="284"/>
    </w:pPr>
    <w:rPr>
      <w:rFonts w:ascii="Garamond" w:hAnsi="Garamond"/>
    </w:rPr>
  </w:style>
  <w:style w:type="paragraph" w:customStyle="1" w:styleId="Byline">
    <w:name w:val="Byline"/>
    <w:rsid w:val="00EF7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C9B"/>
    <w:pPr>
      <w:tabs>
        <w:tab w:val="clear" w:pos="3600"/>
        <w:tab w:val="clear" w:pos="3958"/>
      </w:tabs>
      <w:jc w:val="right"/>
    </w:pPr>
  </w:style>
  <w:style w:type="character" w:styleId="Emphasis">
    <w:name w:val="Emphasis"/>
    <w:basedOn w:val="DefaultParagraphFont"/>
    <w:qFormat/>
    <w:rsid w:val="00EF7C9B"/>
    <w:rPr>
      <w:i/>
    </w:rPr>
  </w:style>
  <w:style w:type="paragraph" w:styleId="Caption">
    <w:name w:val="caption"/>
    <w:basedOn w:val="BodyText"/>
    <w:next w:val="Normal"/>
    <w:qFormat/>
    <w:rsid w:val="00EF7C9B"/>
    <w:pPr>
      <w:framePr w:w="2268" w:hSpace="181" w:vSpace="181" w:wrap="around" w:vAnchor="text" w:hAnchor="page" w:x="1135" w:y="285" w:anchorLock="1"/>
    </w:pPr>
    <w:rPr>
      <w:i/>
    </w:rPr>
  </w:style>
  <w:style w:type="paragraph" w:customStyle="1" w:styleId="MiniTOCTitle">
    <w:name w:val="MiniTOCTitle"/>
    <w:basedOn w:val="Heading4"/>
    <w:rsid w:val="00EF7C9B"/>
    <w:pPr>
      <w:spacing w:before="240"/>
      <w:outlineLvl w:val="9"/>
    </w:pPr>
    <w:rPr>
      <w:noProof/>
      <w:sz w:val="24"/>
    </w:rPr>
  </w:style>
  <w:style w:type="paragraph" w:customStyle="1" w:styleId="MiniTOCItem">
    <w:name w:val="MiniTOCItem"/>
    <w:basedOn w:val="ListBullet"/>
    <w:rsid w:val="00EF7C9B"/>
    <w:pPr>
      <w:numPr>
        <w:numId w:val="0"/>
      </w:numPr>
      <w:tabs>
        <w:tab w:val="right" w:leader="dot" w:pos="6521"/>
      </w:tabs>
      <w:spacing w:before="0" w:after="0"/>
    </w:pPr>
  </w:style>
  <w:style w:type="paragraph" w:customStyle="1" w:styleId="TOFTitle">
    <w:name w:val="TOFTitle"/>
    <w:basedOn w:val="TOCTitle"/>
    <w:rsid w:val="00EF7C9B"/>
  </w:style>
  <w:style w:type="paragraph" w:styleId="TableofFigures">
    <w:name w:val="table of figures"/>
    <w:basedOn w:val="Normal"/>
    <w:next w:val="Normal"/>
    <w:semiHidden/>
    <w:rsid w:val="00EF7C9B"/>
    <w:pPr>
      <w:tabs>
        <w:tab w:val="right" w:leader="dot" w:pos="9072"/>
      </w:tabs>
      <w:ind w:left="970" w:hanging="403"/>
    </w:pPr>
    <w:rPr>
      <w:rFonts w:ascii="Times New Roman" w:hAnsi="Times New Roman"/>
      <w:b/>
    </w:rPr>
  </w:style>
  <w:style w:type="paragraph" w:styleId="ListNumber">
    <w:name w:val="List Number"/>
    <w:basedOn w:val="List"/>
    <w:rsid w:val="00EF7C9B"/>
    <w:pPr>
      <w:numPr>
        <w:numId w:val="10"/>
      </w:numPr>
    </w:pPr>
  </w:style>
  <w:style w:type="character" w:customStyle="1" w:styleId="WingdingSymbols">
    <w:name w:val="Wingding Symbols"/>
    <w:rsid w:val="00EF7C9B"/>
    <w:rPr>
      <w:rFonts w:ascii="Wingdings" w:hAnsi="Wingdings"/>
    </w:rPr>
  </w:style>
  <w:style w:type="paragraph" w:customStyle="1" w:styleId="TableHeading">
    <w:name w:val="Table Heading"/>
    <w:basedOn w:val="HeadingBase"/>
    <w:rsid w:val="00EF7C9B"/>
    <w:pPr>
      <w:keepLines/>
      <w:pBdr>
        <w:bottom w:val="single" w:sz="6" w:space="1" w:color="918585"/>
      </w:pBdr>
      <w:spacing w:before="240"/>
    </w:pPr>
  </w:style>
  <w:style w:type="character" w:customStyle="1" w:styleId="HotSpot">
    <w:name w:val="HotSpot"/>
    <w:rsid w:val="00EF7C9B"/>
    <w:rPr>
      <w:color w:val="0033CC"/>
      <w:u w:val="none"/>
    </w:rPr>
  </w:style>
  <w:style w:type="paragraph" w:customStyle="1" w:styleId="BodyTextRight">
    <w:name w:val="Body Text Right"/>
    <w:basedOn w:val="BodyText"/>
    <w:rsid w:val="00EF7C9B"/>
    <w:pPr>
      <w:spacing w:before="0" w:after="0"/>
      <w:jc w:val="right"/>
    </w:pPr>
  </w:style>
  <w:style w:type="paragraph" w:styleId="Index3">
    <w:name w:val="index 3"/>
    <w:basedOn w:val="ListNumber2"/>
    <w:next w:val="Normal"/>
    <w:semiHidden/>
    <w:rsid w:val="00EF7C9B"/>
    <w:pPr>
      <w:numPr>
        <w:numId w:val="0"/>
      </w:numPr>
      <w:tabs>
        <w:tab w:val="right" w:leader="dot" w:pos="4176"/>
      </w:tabs>
    </w:pPr>
  </w:style>
  <w:style w:type="paragraph" w:styleId="ListNumber2">
    <w:name w:val="List Number 2"/>
    <w:basedOn w:val="List2"/>
    <w:rsid w:val="00EF7C9B"/>
    <w:pPr>
      <w:numPr>
        <w:numId w:val="9"/>
      </w:numPr>
      <w:tabs>
        <w:tab w:val="clear" w:pos="1060"/>
      </w:tabs>
    </w:pPr>
  </w:style>
  <w:style w:type="paragraph" w:customStyle="1" w:styleId="MarginNote">
    <w:name w:val="Margin Note"/>
    <w:basedOn w:val="BodyText"/>
    <w:rsid w:val="00EF7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C9B"/>
    <w:rPr>
      <w:sz w:val="32"/>
    </w:rPr>
  </w:style>
  <w:style w:type="paragraph" w:customStyle="1" w:styleId="HeadingProcedure">
    <w:name w:val="Heading Procedure"/>
    <w:basedOn w:val="HeadingBase"/>
    <w:next w:val="Normal"/>
    <w:rsid w:val="00EF7C9B"/>
    <w:pPr>
      <w:tabs>
        <w:tab w:val="left" w:pos="0"/>
      </w:tabs>
      <w:spacing w:before="120" w:after="60"/>
    </w:pPr>
    <w:rPr>
      <w:i/>
      <w:color w:val="918585"/>
      <w:sz w:val="22"/>
    </w:rPr>
  </w:style>
  <w:style w:type="paragraph" w:customStyle="1" w:styleId="TableBodyText">
    <w:name w:val="Table Body Text"/>
    <w:basedOn w:val="BodyText"/>
    <w:rsid w:val="00EF7C9B"/>
    <w:pPr>
      <w:spacing w:before="60" w:after="60"/>
    </w:pPr>
  </w:style>
  <w:style w:type="paragraph" w:styleId="ListContinue">
    <w:name w:val="List Continue"/>
    <w:basedOn w:val="List"/>
    <w:rsid w:val="00EF7C9B"/>
    <w:pPr>
      <w:ind w:firstLine="0"/>
    </w:pPr>
  </w:style>
  <w:style w:type="paragraph" w:customStyle="1" w:styleId="ListNote">
    <w:name w:val="List Note"/>
    <w:basedOn w:val="List"/>
    <w:rsid w:val="00EF7C9B"/>
    <w:pPr>
      <w:pBdr>
        <w:top w:val="single" w:sz="6" w:space="2" w:color="918585"/>
        <w:bottom w:val="single" w:sz="6" w:space="2" w:color="918585"/>
      </w:pBdr>
      <w:tabs>
        <w:tab w:val="left" w:pos="1021"/>
      </w:tabs>
      <w:ind w:firstLine="0"/>
    </w:pPr>
  </w:style>
  <w:style w:type="paragraph" w:customStyle="1" w:styleId="Warning">
    <w:name w:val="Warning"/>
    <w:basedOn w:val="BodyText"/>
    <w:rsid w:val="00EF7C9B"/>
    <w:pPr>
      <w:shd w:val="clear" w:color="auto" w:fill="D9D9D9"/>
      <w:tabs>
        <w:tab w:val="left" w:pos="992"/>
      </w:tabs>
      <w:ind w:left="119" w:right="119"/>
    </w:pPr>
    <w:rPr>
      <w:sz w:val="20"/>
    </w:rPr>
  </w:style>
  <w:style w:type="paragraph" w:customStyle="1" w:styleId="MarginIcons">
    <w:name w:val="Margin Icons"/>
    <w:basedOn w:val="BodyText"/>
    <w:rsid w:val="00EF7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C9B"/>
    <w:rPr>
      <w:rFonts w:ascii="Courier New" w:hAnsi="Courier New"/>
    </w:rPr>
  </w:style>
  <w:style w:type="paragraph" w:customStyle="1" w:styleId="NoteBullet">
    <w:name w:val="Note Bullet"/>
    <w:basedOn w:val="Note"/>
    <w:rsid w:val="00EF7C9B"/>
    <w:pPr>
      <w:tabs>
        <w:tab w:val="clear" w:pos="680"/>
      </w:tabs>
      <w:spacing w:before="60" w:after="60"/>
    </w:pPr>
  </w:style>
  <w:style w:type="paragraph" w:customStyle="1" w:styleId="SubHeading2">
    <w:name w:val="SubHeading2"/>
    <w:basedOn w:val="HeadingBase"/>
    <w:rsid w:val="00EF7C9B"/>
    <w:pPr>
      <w:spacing w:before="240" w:after="60"/>
    </w:pPr>
    <w:rPr>
      <w:sz w:val="20"/>
    </w:rPr>
  </w:style>
  <w:style w:type="paragraph" w:customStyle="1" w:styleId="SubHeading1">
    <w:name w:val="SubHeading1"/>
    <w:basedOn w:val="HeadingBase"/>
    <w:rsid w:val="00EF7C9B"/>
    <w:pPr>
      <w:spacing w:before="240" w:after="60"/>
    </w:pPr>
    <w:rPr>
      <w:color w:val="918585"/>
      <w:sz w:val="22"/>
    </w:rPr>
  </w:style>
  <w:style w:type="paragraph" w:customStyle="1" w:styleId="SideHeading">
    <w:name w:val="Side Heading"/>
    <w:basedOn w:val="HeadingBase"/>
    <w:rsid w:val="00EF7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C9B"/>
    <w:pPr>
      <w:tabs>
        <w:tab w:val="num" w:pos="360"/>
      </w:tabs>
    </w:pPr>
  </w:style>
  <w:style w:type="paragraph" w:styleId="PlainText">
    <w:name w:val="Plain Text"/>
    <w:basedOn w:val="Normal"/>
    <w:link w:val="PlainTextChar"/>
    <w:rsid w:val="00EF7C9B"/>
    <w:rPr>
      <w:sz w:val="20"/>
    </w:rPr>
  </w:style>
  <w:style w:type="character" w:customStyle="1" w:styleId="PlainTextChar">
    <w:name w:val="Plain Text Char"/>
    <w:basedOn w:val="DefaultParagraphFont"/>
    <w:link w:val="PlainText"/>
    <w:rsid w:val="00EF7C9B"/>
    <w:rPr>
      <w:rFonts w:ascii="Courier New" w:eastAsia="Times New Roman" w:hAnsi="Courier New" w:cs="Times New Roman"/>
      <w:sz w:val="20"/>
      <w:szCs w:val="20"/>
      <w:lang w:eastAsia="en-US"/>
    </w:rPr>
  </w:style>
  <w:style w:type="character" w:customStyle="1" w:styleId="MenuOption">
    <w:name w:val="Menu Option"/>
    <w:basedOn w:val="DefaultParagraphFont"/>
    <w:rsid w:val="00EF7C9B"/>
    <w:rPr>
      <w:b/>
      <w:smallCaps/>
    </w:rPr>
  </w:style>
  <w:style w:type="paragraph" w:customStyle="1" w:styleId="TableListNumber">
    <w:name w:val="Table List Number"/>
    <w:basedOn w:val="ListNumber"/>
    <w:rsid w:val="00EF7C9B"/>
    <w:pPr>
      <w:numPr>
        <w:numId w:val="0"/>
      </w:numPr>
    </w:pPr>
  </w:style>
  <w:style w:type="paragraph" w:styleId="TOC4">
    <w:name w:val="toc 4"/>
    <w:basedOn w:val="TOCBase"/>
    <w:next w:val="Normal"/>
    <w:semiHidden/>
    <w:rsid w:val="00EF7C9B"/>
    <w:pPr>
      <w:tabs>
        <w:tab w:val="right" w:leader="dot" w:pos="9071"/>
      </w:tabs>
      <w:ind w:left="1701"/>
    </w:pPr>
  </w:style>
  <w:style w:type="paragraph" w:customStyle="1" w:styleId="ListAlpha">
    <w:name w:val="List Alpha"/>
    <w:basedOn w:val="List"/>
    <w:rsid w:val="00EF7C9B"/>
    <w:pPr>
      <w:numPr>
        <w:numId w:val="8"/>
      </w:numPr>
    </w:pPr>
  </w:style>
  <w:style w:type="paragraph" w:customStyle="1" w:styleId="ListAlpha2">
    <w:name w:val="List Alpha 2"/>
    <w:basedOn w:val="List2"/>
    <w:rsid w:val="00EF7C9B"/>
    <w:pPr>
      <w:numPr>
        <w:numId w:val="7"/>
      </w:numPr>
    </w:pPr>
  </w:style>
  <w:style w:type="paragraph" w:styleId="List2">
    <w:name w:val="List 2"/>
    <w:basedOn w:val="BodyText"/>
    <w:rsid w:val="00EF7C9B"/>
    <w:pPr>
      <w:tabs>
        <w:tab w:val="left" w:pos="680"/>
      </w:tabs>
      <w:spacing w:before="60" w:after="60"/>
      <w:ind w:left="680" w:hanging="340"/>
    </w:pPr>
  </w:style>
  <w:style w:type="paragraph" w:styleId="List3">
    <w:name w:val="List 3"/>
    <w:basedOn w:val="BodyText"/>
    <w:rsid w:val="00EF7C9B"/>
    <w:pPr>
      <w:tabs>
        <w:tab w:val="left" w:pos="1021"/>
      </w:tabs>
      <w:spacing w:before="60" w:after="60"/>
      <w:ind w:left="1020" w:hanging="340"/>
    </w:pPr>
  </w:style>
  <w:style w:type="paragraph" w:styleId="List4">
    <w:name w:val="List 4"/>
    <w:basedOn w:val="BodyText"/>
    <w:rsid w:val="00EF7C9B"/>
    <w:pPr>
      <w:tabs>
        <w:tab w:val="left" w:pos="1361"/>
      </w:tabs>
      <w:spacing w:before="60" w:after="60"/>
      <w:ind w:left="1361" w:hanging="340"/>
    </w:pPr>
  </w:style>
  <w:style w:type="paragraph" w:styleId="List5">
    <w:name w:val="List 5"/>
    <w:basedOn w:val="BodyText"/>
    <w:rsid w:val="00EF7C9B"/>
    <w:pPr>
      <w:tabs>
        <w:tab w:val="left" w:pos="1701"/>
      </w:tabs>
      <w:spacing w:before="60" w:after="60"/>
      <w:ind w:left="1701" w:hanging="340"/>
    </w:pPr>
  </w:style>
  <w:style w:type="paragraph" w:styleId="ListBullet3">
    <w:name w:val="List Bullet 3"/>
    <w:basedOn w:val="List3"/>
    <w:rsid w:val="00EF7C9B"/>
    <w:pPr>
      <w:numPr>
        <w:numId w:val="14"/>
      </w:numPr>
      <w:tabs>
        <w:tab w:val="clear" w:pos="1021"/>
      </w:tabs>
      <w:ind w:left="1037" w:hanging="357"/>
    </w:pPr>
  </w:style>
  <w:style w:type="paragraph" w:styleId="ListBullet4">
    <w:name w:val="List Bullet 4"/>
    <w:basedOn w:val="List4"/>
    <w:rsid w:val="00EF7C9B"/>
    <w:pPr>
      <w:numPr>
        <w:numId w:val="2"/>
      </w:numPr>
      <w:tabs>
        <w:tab w:val="clear" w:pos="1361"/>
      </w:tabs>
    </w:pPr>
  </w:style>
  <w:style w:type="paragraph" w:styleId="ListBullet5">
    <w:name w:val="List Bullet 5"/>
    <w:basedOn w:val="List5"/>
    <w:rsid w:val="00EF7C9B"/>
    <w:pPr>
      <w:numPr>
        <w:numId w:val="3"/>
      </w:numPr>
    </w:pPr>
  </w:style>
  <w:style w:type="paragraph" w:styleId="ListContinue2">
    <w:name w:val="List Continue 2"/>
    <w:basedOn w:val="List2"/>
    <w:rsid w:val="00EF7C9B"/>
    <w:pPr>
      <w:ind w:firstLine="0"/>
    </w:pPr>
  </w:style>
  <w:style w:type="paragraph" w:styleId="ListContinue3">
    <w:name w:val="List Continue 3"/>
    <w:basedOn w:val="List3"/>
    <w:rsid w:val="00EF7C9B"/>
    <w:pPr>
      <w:ind w:left="1021" w:firstLine="0"/>
    </w:pPr>
  </w:style>
  <w:style w:type="paragraph" w:styleId="ListContinue4">
    <w:name w:val="List Continue 4"/>
    <w:basedOn w:val="List4"/>
    <w:rsid w:val="00EF7C9B"/>
    <w:pPr>
      <w:ind w:firstLine="0"/>
    </w:pPr>
  </w:style>
  <w:style w:type="paragraph" w:styleId="ListContinue5">
    <w:name w:val="List Continue 5"/>
    <w:basedOn w:val="List5"/>
    <w:rsid w:val="00EF7C9B"/>
    <w:pPr>
      <w:ind w:firstLine="0"/>
    </w:pPr>
  </w:style>
  <w:style w:type="paragraph" w:styleId="ListNumber3">
    <w:name w:val="List Number 3"/>
    <w:basedOn w:val="List3"/>
    <w:rsid w:val="00EF7C9B"/>
    <w:pPr>
      <w:numPr>
        <w:numId w:val="4"/>
      </w:numPr>
    </w:pPr>
  </w:style>
  <w:style w:type="paragraph" w:styleId="ListNumber4">
    <w:name w:val="List Number 4"/>
    <w:basedOn w:val="List4"/>
    <w:rsid w:val="00EF7C9B"/>
    <w:pPr>
      <w:numPr>
        <w:numId w:val="5"/>
      </w:numPr>
    </w:pPr>
  </w:style>
  <w:style w:type="paragraph" w:styleId="ListNumber5">
    <w:name w:val="List Number 5"/>
    <w:basedOn w:val="List5"/>
    <w:rsid w:val="00EF7C9B"/>
    <w:pPr>
      <w:numPr>
        <w:numId w:val="6"/>
      </w:numPr>
    </w:pPr>
  </w:style>
  <w:style w:type="paragraph" w:styleId="BlockText">
    <w:name w:val="Block Text"/>
    <w:basedOn w:val="Normal"/>
    <w:rsid w:val="00EF7C9B"/>
    <w:pPr>
      <w:spacing w:after="120"/>
      <w:ind w:left="1440" w:right="1440"/>
    </w:pPr>
  </w:style>
  <w:style w:type="character" w:customStyle="1" w:styleId="Subscript">
    <w:name w:val="Subscript"/>
    <w:basedOn w:val="DefaultParagraphFont"/>
    <w:rsid w:val="00EF7C9B"/>
    <w:rPr>
      <w:sz w:val="16"/>
      <w:vertAlign w:val="subscript"/>
    </w:rPr>
  </w:style>
  <w:style w:type="character" w:customStyle="1" w:styleId="Superscript">
    <w:name w:val="Superscript"/>
    <w:basedOn w:val="DefaultParagraphFont"/>
    <w:rsid w:val="00EF7C9B"/>
    <w:rPr>
      <w:sz w:val="16"/>
      <w:vertAlign w:val="superscript"/>
    </w:rPr>
  </w:style>
  <w:style w:type="character" w:customStyle="1" w:styleId="MenuOptions">
    <w:name w:val="Menu Options"/>
    <w:basedOn w:val="DefaultParagraphFont"/>
    <w:rsid w:val="00EF7C9B"/>
    <w:rPr>
      <w:rFonts w:ascii="Arial Narrow" w:hAnsi="Arial Narrow"/>
      <w:smallCaps/>
    </w:rPr>
  </w:style>
  <w:style w:type="character" w:customStyle="1" w:styleId="Buttons">
    <w:name w:val="Buttons"/>
    <w:basedOn w:val="DefaultParagraphFont"/>
    <w:rsid w:val="00EF7C9B"/>
    <w:rPr>
      <w:b/>
    </w:rPr>
  </w:style>
  <w:style w:type="character" w:customStyle="1" w:styleId="Underlined">
    <w:name w:val="Underlined"/>
    <w:basedOn w:val="DefaultParagraphFont"/>
    <w:rsid w:val="00EF7C9B"/>
    <w:rPr>
      <w:u w:val="single"/>
    </w:rPr>
  </w:style>
  <w:style w:type="paragraph" w:customStyle="1" w:styleId="TableBodyTextRight">
    <w:name w:val="Table Body Text Right"/>
    <w:basedOn w:val="TableBodyText"/>
    <w:rsid w:val="00EF7C9B"/>
    <w:pPr>
      <w:widowControl w:val="0"/>
      <w:autoSpaceDE w:val="0"/>
      <w:autoSpaceDN w:val="0"/>
      <w:adjustRightInd w:val="0"/>
      <w:jc w:val="right"/>
    </w:pPr>
    <w:rPr>
      <w:rFonts w:cs="Arial"/>
      <w:szCs w:val="18"/>
    </w:rPr>
  </w:style>
  <w:style w:type="paragraph" w:customStyle="1" w:styleId="CopyrightText">
    <w:name w:val="Copyright Text"/>
    <w:basedOn w:val="BodyText"/>
    <w:rsid w:val="00EF7C9B"/>
    <w:rPr>
      <w:sz w:val="18"/>
    </w:rPr>
  </w:style>
  <w:style w:type="paragraph" w:customStyle="1" w:styleId="BodySmallRight">
    <w:name w:val="Body Small Right"/>
    <w:basedOn w:val="BodyTextRight"/>
    <w:rsid w:val="00EF7C9B"/>
    <w:rPr>
      <w:sz w:val="18"/>
      <w:szCs w:val="18"/>
    </w:rPr>
  </w:style>
  <w:style w:type="paragraph" w:customStyle="1" w:styleId="MarginEdition">
    <w:name w:val="Margin Edition"/>
    <w:basedOn w:val="MarginNote"/>
    <w:rsid w:val="00EF7C9B"/>
    <w:pPr>
      <w:spacing w:before="0" w:after="0"/>
    </w:pPr>
    <w:rPr>
      <w:rFonts w:ascii="Times New Roman" w:hAnsi="Times New Roman"/>
      <w:color w:val="999999"/>
    </w:rPr>
  </w:style>
  <w:style w:type="paragraph" w:customStyle="1" w:styleId="Spacer">
    <w:name w:val="Spacer"/>
    <w:basedOn w:val="Normal"/>
    <w:rsid w:val="00EF7C9B"/>
    <w:rPr>
      <w:sz w:val="2"/>
      <w:szCs w:val="2"/>
    </w:rPr>
  </w:style>
  <w:style w:type="character" w:customStyle="1" w:styleId="Small">
    <w:name w:val="Small"/>
    <w:basedOn w:val="DefaultParagraphFont"/>
    <w:rsid w:val="00EF7C9B"/>
    <w:rPr>
      <w:sz w:val="16"/>
    </w:rPr>
  </w:style>
  <w:style w:type="paragraph" w:customStyle="1" w:styleId="WideTable">
    <w:name w:val="Wide Table"/>
    <w:basedOn w:val="Normal"/>
    <w:rsid w:val="00EF7C9B"/>
    <w:pPr>
      <w:ind w:left="-1418"/>
    </w:pPr>
    <w:rPr>
      <w:sz w:val="2"/>
      <w:szCs w:val="2"/>
    </w:rPr>
  </w:style>
  <w:style w:type="character" w:styleId="PageNumber">
    <w:name w:val="page number"/>
    <w:basedOn w:val="DefaultParagraphFont"/>
    <w:rsid w:val="00EF7C9B"/>
  </w:style>
  <w:style w:type="paragraph" w:styleId="Quote">
    <w:name w:val="Quote"/>
    <w:basedOn w:val="Heading1"/>
    <w:link w:val="QuoteChar"/>
    <w:qFormat/>
    <w:rsid w:val="00EF7C9B"/>
    <w:rPr>
      <w:b w:val="0"/>
      <w:sz w:val="72"/>
      <w:szCs w:val="72"/>
      <w:lang w:val="en-NZ"/>
    </w:rPr>
  </w:style>
  <w:style w:type="character" w:customStyle="1" w:styleId="QuoteChar">
    <w:name w:val="Quote Char"/>
    <w:basedOn w:val="DefaultParagraphFont"/>
    <w:link w:val="Quote"/>
    <w:rsid w:val="00EF7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C9B"/>
    <w:pPr>
      <w:pageBreakBefore/>
    </w:pPr>
  </w:style>
  <w:style w:type="paragraph" w:customStyle="1" w:styleId="Border">
    <w:name w:val="Border"/>
    <w:basedOn w:val="Normal"/>
    <w:qFormat/>
    <w:rsid w:val="00EF7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C9B"/>
    <w:rPr>
      <w:b/>
      <w:bCs/>
      <w:i/>
      <w:iCs/>
      <w:color w:val="auto"/>
    </w:rPr>
  </w:style>
  <w:style w:type="paragraph" w:styleId="IntenseQuote">
    <w:name w:val="Intense Quote"/>
    <w:basedOn w:val="Normal"/>
    <w:next w:val="Normal"/>
    <w:link w:val="IntenseQuoteChar"/>
    <w:uiPriority w:val="30"/>
    <w:qFormat/>
    <w:rsid w:val="00EF7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C9B"/>
    <w:rPr>
      <w:smallCaps/>
      <w:color w:val="auto"/>
      <w:u w:val="single"/>
    </w:rPr>
  </w:style>
  <w:style w:type="character" w:styleId="IntenseReference">
    <w:name w:val="Intense Reference"/>
    <w:basedOn w:val="DefaultParagraphFont"/>
    <w:uiPriority w:val="32"/>
    <w:qFormat/>
    <w:rsid w:val="00EF7C9B"/>
    <w:rPr>
      <w:b/>
      <w:bCs/>
      <w:smallCaps/>
      <w:color w:val="auto"/>
      <w:spacing w:val="5"/>
      <w:u w:val="single"/>
    </w:rPr>
  </w:style>
  <w:style w:type="paragraph" w:customStyle="1" w:styleId="2ColumnHeading">
    <w:name w:val="2Column Heading"/>
    <w:basedOn w:val="BodyText"/>
    <w:qFormat/>
    <w:rsid w:val="00EF7C9B"/>
    <w:pPr>
      <w:spacing w:after="60"/>
      <w:ind w:left="-2268"/>
    </w:pPr>
    <w:rPr>
      <w:b/>
    </w:rPr>
  </w:style>
  <w:style w:type="paragraph" w:customStyle="1" w:styleId="Heading1TOC">
    <w:name w:val="Heading1 TOC"/>
    <w:basedOn w:val="Normal"/>
    <w:qFormat/>
    <w:rsid w:val="00EF7C9B"/>
    <w:pPr>
      <w:spacing w:before="240" w:after="120"/>
    </w:pPr>
    <w:rPr>
      <w:rFonts w:ascii="Times New Roman" w:hAnsi="Times New Roman"/>
      <w:b/>
      <w:sz w:val="32"/>
    </w:rPr>
  </w:style>
  <w:style w:type="paragraph" w:customStyle="1" w:styleId="Heading2TOC">
    <w:name w:val="Heading2 TOC"/>
    <w:basedOn w:val="Normal"/>
    <w:qFormat/>
    <w:rsid w:val="00EF7C9B"/>
    <w:pPr>
      <w:spacing w:before="240" w:after="60"/>
    </w:pPr>
    <w:rPr>
      <w:rFonts w:ascii="Times New Roman" w:hAnsi="Times New Roman"/>
      <w:b/>
      <w:sz w:val="28"/>
    </w:rPr>
  </w:style>
  <w:style w:type="character" w:customStyle="1" w:styleId="Underline">
    <w:name w:val="Underline"/>
    <w:basedOn w:val="DefaultParagraphFont"/>
    <w:qFormat/>
    <w:rsid w:val="00EF7C9B"/>
    <w:rPr>
      <w:u w:val="single"/>
    </w:rPr>
  </w:style>
  <w:style w:type="character" w:customStyle="1" w:styleId="BoldandItalics">
    <w:name w:val="Bold and Italics"/>
    <w:qFormat/>
    <w:rsid w:val="00EF7C9B"/>
    <w:rPr>
      <w:b/>
      <w:i/>
      <w:u w:val="none"/>
    </w:rPr>
  </w:style>
  <w:style w:type="paragraph" w:styleId="BalloonText">
    <w:name w:val="Balloon Text"/>
    <w:basedOn w:val="Normal"/>
    <w:link w:val="BalloonTextChar"/>
    <w:rsid w:val="00EF7C9B"/>
    <w:rPr>
      <w:rFonts w:ascii="Tahoma" w:hAnsi="Tahoma" w:cs="Tahoma"/>
      <w:sz w:val="16"/>
      <w:szCs w:val="16"/>
    </w:rPr>
  </w:style>
  <w:style w:type="character" w:customStyle="1" w:styleId="BalloonTextChar">
    <w:name w:val="Balloon Text Char"/>
    <w:basedOn w:val="DefaultParagraphFont"/>
    <w:link w:val="BalloonText"/>
    <w:rsid w:val="00EF7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C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C9B"/>
    <w:rPr>
      <w:b/>
      <w:color w:val="660033"/>
      <w:spacing w:val="0"/>
    </w:rPr>
  </w:style>
  <w:style w:type="paragraph" w:customStyle="1" w:styleId="Nameditemlist">
    <w:name w:val="Named item list"/>
    <w:basedOn w:val="BodyText"/>
    <w:qFormat/>
    <w:rsid w:val="00EF7C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7129</Characters>
  <Application>Microsoft Office Word</Application>
  <DocSecurity>0</DocSecurity>
  <Lines>250</Lines>
  <Paragraphs>107</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MSL975004 Perform chemical pathology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2016-03-01T06:28:00Z</dcterms:created>
  <dcterms:modified xsi:type="dcterms:W3CDTF">2016-03-01T06:28:00Z</dcterms:modified>
</cp:coreProperties>
</file>