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2D3" w:rsidP="006522D3">
      <w:pPr>
        <w:pStyle w:val="Title"/>
      </w:pPr>
      <w:r>
        <w:fldChar w:fldCharType="begin"/>
      </w:r>
      <w:r>
        <w:instrText xml:space="preserve"> TITLE   \* MERGEFORMAT </w:instrText>
      </w:r>
      <w:r>
        <w:fldChar w:fldCharType="separate"/>
      </w:r>
      <w:r>
        <w:t>MSL975003 Perform histological tests</w:t>
      </w:r>
      <w:r>
        <w:fldChar w:fldCharType="end"/>
      </w:r>
    </w:p>
    <w:p w:rsidR="006522D3" w:rsidP="006522D3">
      <w:pPr>
        <w:pStyle w:val="Version"/>
        <w:sectPr w:rsidSect="008E7C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C73" w:rsidP="008E7C73">
      <w:pPr>
        <w:pStyle w:val="SuperHeading"/>
      </w:pPr>
      <w:r w:rsidRPr="008E7C73">
        <w:t>MSL975003 Perform histological tests</w:t>
      </w:r>
    </w:p>
    <w:p w:rsidR="00000000" w:rsidRPr="008E7C73" w:rsidP="008E7C73">
      <w:pPr>
        <w:pStyle w:val="Heading1"/>
      </w:pPr>
      <w:bookmarkStart w:id="1" w:name="O_901426"/>
      <w:bookmarkEnd w:id="1"/>
      <w:r w:rsidRPr="008E7C73">
        <w:t>Modification History</w:t>
      </w:r>
    </w:p>
    <w:p w:rsidR="00000000" w:rsidRPr="008E7C73" w:rsidP="008E7C73">
      <w:pPr>
        <w:pStyle w:val="BodyText"/>
      </w:pPr>
      <w:r w:rsidRPr="008E7C73">
        <w:t>Release 1. Supersedes and is equivalent to MSL975003A Perform histological tests</w:t>
      </w:r>
    </w:p>
    <w:p w:rsidR="00000000" w:rsidRPr="008E7C73" w:rsidP="008E7C73">
      <w:pPr>
        <w:pStyle w:val="AllowPageBreak"/>
      </w:pPr>
    </w:p>
    <w:p w:rsidR="00000000" w:rsidRPr="008E7C73" w:rsidP="008E7C73">
      <w:pPr>
        <w:pStyle w:val="Heading1"/>
      </w:pPr>
      <w:bookmarkStart w:id="2" w:name="O_901434"/>
      <w:bookmarkEnd w:id="2"/>
      <w:r w:rsidRPr="008E7C73">
        <w:t>Application</w:t>
      </w:r>
    </w:p>
    <w:p w:rsidR="00000000" w:rsidRPr="008E7C73" w:rsidP="008E7C73">
      <w:pPr>
        <w:pStyle w:val="BodyText"/>
      </w:pPr>
      <w:r w:rsidRPr="008E7C73">
        <w:t>This unit of competency covers the ability to perform tests and procedures associated with processing and staining tissues fo</w:t>
      </w:r>
      <w:r w:rsidRPr="008E7C73">
        <w:t>r examination of tissue structure and abnormalities by pathologists and scientists to assist with disease diagnosis. The unit covers tests and procedures that are associated with anatomical pathology and may involve the use of automated processors and stai</w:t>
      </w:r>
      <w:r w:rsidRPr="008E7C73">
        <w:t xml:space="preserve">ning machines. </w:t>
      </w:r>
    </w:p>
    <w:p w:rsidR="00000000" w:rsidRPr="008E7C73" w:rsidP="008E7C73">
      <w:pPr>
        <w:pStyle w:val="BodyText"/>
      </w:pPr>
    </w:p>
    <w:p w:rsidR="00000000" w:rsidRPr="008E7C73" w:rsidP="008E7C73">
      <w:pPr>
        <w:pStyle w:val="BodyText"/>
      </w:pPr>
      <w:r w:rsidRPr="008E7C73">
        <w:t>This unit of competency is applicable to laboratory technicians and technical officers in the biomedical sector. The unit principally refers to techniques performed on human tissues, but many aspects may be relevant to animal and plant tis</w:t>
      </w:r>
      <w:r w:rsidRPr="008E7C73">
        <w:t>sues. This unit of competency assumes that the technical officer would perform tests and procedures under the close supervision of scientific and/or medical staff. Although a supervisor may not always be present, the technician will follow standard operati</w:t>
      </w:r>
      <w:r w:rsidRPr="008E7C73">
        <w:t xml:space="preserve">ng procedures (SOPs) that will clearly describe the scope of permitted practice in modifying testing procedures, quality control procedures, interpretation of data, and for communicating test results to people outside the laboratory. Technical workers may </w:t>
      </w:r>
      <w:r w:rsidRPr="008E7C73">
        <w:t>need to interrupt their routine work in order to assist with or perform procedures to facilitate rapid diagnosis of specimens from patients in the operating theatre. The involvement of the technical officer in mortuary work will be determined by the workpl</w:t>
      </w:r>
      <w:r w:rsidRPr="008E7C73">
        <w:t>ace. Work of this nature will always be closely supervised by scientific/medical staff.</w:t>
      </w:r>
    </w:p>
    <w:p w:rsidR="00000000" w:rsidRPr="008E7C73" w:rsidP="008E7C73">
      <w:pPr>
        <w:pStyle w:val="BodyText"/>
      </w:pPr>
    </w:p>
    <w:p w:rsidR="00000000" w:rsidRPr="008E7C73" w:rsidP="008E7C73">
      <w:pPr>
        <w:pStyle w:val="BodyText"/>
      </w:pPr>
      <w:r w:rsidRPr="008E7C73">
        <w:t>While no specific licensing or certification requirements apply to this unit at the time of publication, laboratory operations are governed by relevant legislation, re</w:t>
      </w:r>
      <w:r w:rsidRPr="008E7C73">
        <w:t>gulations and/or external accreditation requirements. Local requirements should be checked.</w:t>
      </w:r>
    </w:p>
    <w:p w:rsidR="00000000" w:rsidRPr="008E7C73" w:rsidP="008E7C73">
      <w:pPr>
        <w:pStyle w:val="AllowPageBreak"/>
      </w:pPr>
    </w:p>
    <w:p w:rsidR="00000000" w:rsidRPr="008E7C73" w:rsidP="008E7C73">
      <w:pPr>
        <w:pStyle w:val="Heading1"/>
      </w:pPr>
      <w:bookmarkStart w:id="3" w:name="O_901433"/>
      <w:bookmarkEnd w:id="3"/>
      <w:r w:rsidRPr="008E7C73">
        <w:t>Pre-requisite Unit</w:t>
      </w:r>
    </w:p>
    <w:tbl>
      <w:tblPr>
        <w:tblW w:w="0" w:type="auto"/>
        <w:tblCellMar>
          <w:left w:w="62" w:type="dxa"/>
          <w:right w:w="62" w:type="dxa"/>
        </w:tblCellMar>
        <w:tblLook w:val="0000"/>
      </w:tblPr>
      <w:tblGrid>
        <w:gridCol w:w="2163"/>
        <w:gridCol w:w="7033"/>
      </w:tblGrid>
      <w:tr w:rsidTr="006522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MSL973007</w:t>
            </w:r>
          </w:p>
        </w:tc>
        <w:tc>
          <w:tcPr>
            <w:tcW w:w="0" w:type="auto"/>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Perform microscopic examination</w:t>
            </w:r>
          </w:p>
        </w:tc>
      </w:tr>
    </w:tbl>
    <w:p w:rsidR="00000000" w:rsidRPr="008E7C73" w:rsidP="008E7C73">
      <w:pPr>
        <w:pStyle w:val="BodyText"/>
      </w:pPr>
    </w:p>
    <w:p w:rsidR="00000000" w:rsidRPr="008E7C73" w:rsidP="008E7C73">
      <w:pPr>
        <w:pStyle w:val="AllowPageBreak"/>
      </w:pPr>
    </w:p>
    <w:p w:rsidR="00000000" w:rsidRPr="008E7C73" w:rsidP="008E7C73">
      <w:pPr>
        <w:pStyle w:val="Heading1"/>
      </w:pPr>
      <w:bookmarkStart w:id="4" w:name="O_901432"/>
      <w:bookmarkEnd w:id="4"/>
      <w:r w:rsidRPr="008E7C73">
        <w:t>Competency Field</w:t>
      </w:r>
    </w:p>
    <w:p w:rsidR="00000000" w:rsidRPr="008E7C73" w:rsidP="008E7C73">
      <w:pPr>
        <w:pStyle w:val="BodyText"/>
      </w:pPr>
      <w:r w:rsidRPr="008E7C73">
        <w:t>Testing</w:t>
      </w:r>
    </w:p>
    <w:p w:rsidR="00000000" w:rsidRPr="008E7C73" w:rsidP="008E7C73">
      <w:pPr>
        <w:pStyle w:val="AllowPageBreak"/>
      </w:pPr>
    </w:p>
    <w:p w:rsidR="00000000" w:rsidRPr="008E7C73" w:rsidP="008E7C73">
      <w:pPr>
        <w:pStyle w:val="Heading1"/>
      </w:pPr>
      <w:bookmarkStart w:id="5" w:name="O_901431"/>
      <w:bookmarkEnd w:id="5"/>
      <w:r w:rsidRPr="008E7C73">
        <w:t>Unit Sector</w:t>
      </w:r>
    </w:p>
    <w:p w:rsidR="00000000" w:rsidRPr="008E7C73" w:rsidP="008E7C73">
      <w:pPr>
        <w:pStyle w:val="Heading1"/>
      </w:pPr>
      <w:bookmarkStart w:id="6" w:name="O_901430"/>
      <w:bookmarkEnd w:id="6"/>
      <w:r w:rsidRPr="008E7C7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E7C7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Performance criteria describe the performance needed to demonstrate achievement of the element.</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1</w:t>
            </w:r>
          </w:p>
        </w:tc>
        <w:tc>
          <w:tcPr>
            <w:tcW w:w="1962" w:type="dxa"/>
            <w:vMerge w:val="restart"/>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Process specimens and associated request forms</w:t>
            </w: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1.1</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Check and match specimens and request forms before they are accepted</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1.2</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Identify specimens and request forms that do not comply with requirements, record any discrepancies and indicate what action is required</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1.3</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Log accept</w:t>
            </w:r>
            <w:r w:rsidRPr="008E7C73">
              <w:t xml:space="preserve">able specimens into a laboratory information management system (LIMS) accurately and efficiently, applying required document tracking mechanisms </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1.4</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Store specimens appropriately until required for testing</w:t>
            </w:r>
          </w:p>
        </w:tc>
      </w:tr>
      <w:tr w:rsidTr="008E7C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C73">
            <w:pPr>
              <w:pStyle w:val="BodyText"/>
              <w:rPr>
                <w:lang w:val="en-NZ"/>
              </w:rPr>
            </w:pP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2</w:t>
            </w:r>
          </w:p>
        </w:tc>
        <w:tc>
          <w:tcPr>
            <w:tcW w:w="1962" w:type="dxa"/>
            <w:vMerge w:val="restart"/>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Prepare specimens for cut-up</w:t>
            </w: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2.1</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Arrange tissues and request forms in cut-up area</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2.2</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Label tissue cassettes as required to maintain identity during subsequent procedures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2.3</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Select tissue fixative to prepare tissue for subsequent procedures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2.4</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Weigh organs and count tissue chips and shavings</w:t>
            </w:r>
          </w:p>
        </w:tc>
      </w:tr>
      <w:tr w:rsidTr="008E7C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C73">
            <w:pPr>
              <w:pStyle w:val="BodyText"/>
              <w:rPr>
                <w:lang w:val="en-NZ"/>
              </w:rPr>
            </w:pP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3</w:t>
            </w:r>
          </w:p>
        </w:tc>
        <w:tc>
          <w:tcPr>
            <w:tcW w:w="1962" w:type="dxa"/>
            <w:vMerge w:val="restart"/>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Process tissue</w:t>
            </w: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3.1</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Select processor program and reagents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3.2</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Perform equipment pre-use checks on the tissue processor to ensure sample integrity is maintained</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3.3</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Follow processing requirements for non-routine techniques, including histochemistry</w:t>
            </w:r>
          </w:p>
        </w:tc>
      </w:tr>
      <w:tr w:rsidTr="008E7C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C73">
            <w:pPr>
              <w:pStyle w:val="BodyText"/>
              <w:rPr>
                <w:lang w:val="en-NZ"/>
              </w:rPr>
            </w:pP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4</w:t>
            </w:r>
          </w:p>
        </w:tc>
        <w:tc>
          <w:tcPr>
            <w:tcW w:w="1962" w:type="dxa"/>
            <w:vMerge w:val="restart"/>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Embed tissue</w:t>
            </w: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4.1</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Check that temperature of embedding medium is suitable for embedding process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4.2</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Check that volume of embedding medium is sufficient for uninterrupted embedding of processor load</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4.3</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Embed tissue types in correct orientation and characteristics that minimise tissue loss during microtomy</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4.4</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Apply procedures to prevent cross-contamination between tissues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4.5</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Inspect blocks, reject and re-embed items that do not meet quality control standards</w:t>
            </w:r>
          </w:p>
        </w:tc>
      </w:tr>
      <w:tr w:rsidTr="008E7C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C73">
            <w:pPr>
              <w:pStyle w:val="BodyText"/>
              <w:rPr>
                <w:lang w:val="en-NZ"/>
              </w:rPr>
            </w:pP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5</w:t>
            </w:r>
          </w:p>
        </w:tc>
        <w:tc>
          <w:tcPr>
            <w:tcW w:w="1962" w:type="dxa"/>
            <w:vMerge w:val="restart"/>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Cut tissue sections</w:t>
            </w: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5.1</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Check that flotation bath is ready and satisfactory for use</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5.2</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Prepare and adjust all external parts of a microtome and associated equipment to accommodate requirements of tissue batch</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5.3</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Secure block in microtome following specified safety directions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5.4</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Orientate the block correctly for each specific tissue to ensure tissue conservation and maintain sample integrity</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5.5</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Label required number of microscope slides in accordance with workplace traceability requirements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5.6</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Cut thin tissue sections (4-5</w:t>
            </w:r>
            <w:r w:rsidRPr="008E7C73">
              <w:t>μm), according to needs of subsequent procedures, maintaining sample integrity and conserving tissue for further testing</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5.7</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Float sections onto water bath to flatten tissues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5.8</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Pick up sections onto microscope slides ensuring patient identification on slides matches that on block</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5.9</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Apply procedures to prevent cross-contamination between patient tissues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5.10</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Maintain tissue sections in conditions compatible with intended s</w:t>
            </w:r>
            <w:r w:rsidRPr="008E7C73">
              <w:t>ubsequent procedures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5.11</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Compare the blocks and sections ensuring the tissue on slides matches that in the blocks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5.12</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Inspect sections and reject any that do not meet quality control standards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513</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Identify, troubleshoot and resolve common section quality control issues</w:t>
            </w:r>
          </w:p>
        </w:tc>
      </w:tr>
      <w:tr w:rsidTr="008E7C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C73">
            <w:pPr>
              <w:pStyle w:val="BodyText"/>
              <w:rPr>
                <w:lang w:val="en-NZ"/>
              </w:rPr>
            </w:pP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6</w:t>
            </w:r>
          </w:p>
        </w:tc>
        <w:tc>
          <w:tcPr>
            <w:tcW w:w="1962" w:type="dxa"/>
            <w:vMerge w:val="restart"/>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Stain tissue sections</w:t>
            </w: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6.1</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Apply staining procedures to demonstrate required morphological features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6.2</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Prepare labile reagents for immediate use</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6.3</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S</w:t>
            </w:r>
            <w:r w:rsidRPr="008E7C73">
              <w:t>elect reagents for specified technique, ensuring reagent sequence matches standard procedure</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6.4</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 xml:space="preserve">Stain sections according to method using the required quality control section and accommodating any authorised variations </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6.5</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Mount slides using medium compatible with staining technique</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6.6</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Examine control sections microscopically to ensure expected staining outcomes are achieved and procedural artefacts are detected</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6.7</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Confirm macroscopically or microscopically that tiss</w:t>
            </w:r>
            <w:r w:rsidRPr="008E7C73">
              <w:t>ues on all slides conform with the expected characteristics of that case</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6.8</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Participate in final check to establish that the number of slides tallies with the worksheet</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6.9</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Attach permanent label giving specimen details as required by workplace</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6.10</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Confirm microscopically that the type/disease is appropriate and still present in the control sections for each stain</w:t>
            </w:r>
          </w:p>
        </w:tc>
      </w:tr>
      <w:tr w:rsidTr="008E7C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C73">
            <w:pPr>
              <w:pStyle w:val="BodyText"/>
              <w:rPr>
                <w:lang w:val="en-NZ"/>
              </w:rPr>
            </w:pP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7</w:t>
            </w:r>
          </w:p>
        </w:tc>
        <w:tc>
          <w:tcPr>
            <w:tcW w:w="1962" w:type="dxa"/>
            <w:vMerge w:val="restart"/>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Maintain a safe environment</w:t>
            </w: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7.1</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Use established safe work practices and personal protective equipment (PPE) to ensure personal safety and that of other laboratory personnel</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7.2</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Handle non-fixed tissues safely to minimise cross-infection and contamination of personnel and environment</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7.3</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Store fixed tissues as specified to minimise exposure of personnel to dangerous fumes and vapours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7.4</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Clean up spills using appropriate techniques to protect personnel, work area and environment from contamination</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7.5</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Minimise the generation of</w:t>
            </w:r>
            <w:r w:rsidRPr="008E7C73">
              <w:t xml:space="preserve"> wastes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7.6</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Ensure the safe disposal of biohazardous materials and other laboratory wastes in accordance with workplace procedures</w:t>
            </w:r>
          </w:p>
        </w:tc>
      </w:tr>
      <w:tr w:rsidTr="008E7C7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E7C73">
            <w:pPr>
              <w:pStyle w:val="BodyText"/>
              <w:rPr>
                <w:lang w:val="en-NZ"/>
              </w:rPr>
            </w:pP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8</w:t>
            </w:r>
          </w:p>
        </w:tc>
        <w:tc>
          <w:tcPr>
            <w:tcW w:w="1962" w:type="dxa"/>
            <w:vMerge w:val="restart"/>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8.1</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Make entries on report forms or into computer systems, accurately calculating, recording or transcribing data as required</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8.2</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Complete control stain quality assessment forms to report quality control outcomes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8.3</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File and st</w:t>
            </w:r>
            <w:r w:rsidRPr="008E7C73">
              <w:t>ore tissue sections to facilitate efficient retrieval as required</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8.4</w:t>
            </w:r>
          </w:p>
        </w:tc>
        <w:tc>
          <w:tcPr>
            <w:tcW w:w="561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Maintain instrument logs as required by accreditation checks</w:t>
            </w:r>
          </w:p>
        </w:tc>
      </w:tr>
      <w:tr w:rsidTr="008E7C7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8.5</w:t>
            </w:r>
          </w:p>
        </w:tc>
        <w:tc>
          <w:tcPr>
            <w:tcW w:w="5610" w:type="dxa"/>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Maintain confidentiality and security of all clinical information, and laboratory data and records</w:t>
            </w:r>
          </w:p>
        </w:tc>
      </w:tr>
    </w:tbl>
    <w:p w:rsidR="00000000" w:rsidRPr="008E7C73" w:rsidP="008E7C73">
      <w:pPr>
        <w:pStyle w:val="BodyText"/>
      </w:pPr>
    </w:p>
    <w:p w:rsidR="00000000" w:rsidRPr="008E7C73" w:rsidP="008E7C73">
      <w:pPr>
        <w:pStyle w:val="AllowPageBreak"/>
      </w:pPr>
    </w:p>
    <w:p w:rsidR="00000000" w:rsidRPr="008E7C73" w:rsidP="008E7C73">
      <w:pPr>
        <w:pStyle w:val="Heading1"/>
      </w:pPr>
      <w:bookmarkStart w:id="7" w:name="O_901429"/>
      <w:bookmarkEnd w:id="7"/>
      <w:r w:rsidRPr="008E7C73">
        <w:t>Foundation Skills</w:t>
      </w:r>
    </w:p>
    <w:p w:rsidR="00000000" w:rsidRPr="008E7C73" w:rsidP="008E7C73">
      <w:pPr>
        <w:pStyle w:val="BodyText"/>
      </w:pPr>
      <w:r w:rsidRPr="008E7C73">
        <w:t>This section describes those language, literacy, numeracy and employment skills that are essential to performance.</w:t>
      </w:r>
    </w:p>
    <w:p w:rsidR="00000000" w:rsidRPr="008E7C73" w:rsidP="008E7C73">
      <w:pPr>
        <w:pStyle w:val="BodyText"/>
      </w:pPr>
    </w:p>
    <w:p w:rsidR="00000000" w:rsidRPr="008E7C73" w:rsidP="008E7C73">
      <w:pPr>
        <w:pStyle w:val="BodyText"/>
      </w:pPr>
      <w:r w:rsidRPr="008E7C73">
        <w:t>Foundation skills essential to performance are explicit in the performance criteria of this unit of competency.</w:t>
      </w:r>
    </w:p>
    <w:p w:rsidR="00000000" w:rsidRPr="008E7C73" w:rsidP="008E7C73">
      <w:pPr>
        <w:pStyle w:val="AllowPageBreak"/>
      </w:pPr>
    </w:p>
    <w:p w:rsidR="00000000" w:rsidRPr="008E7C73" w:rsidP="008E7C73">
      <w:pPr>
        <w:pStyle w:val="Heading1"/>
      </w:pPr>
      <w:bookmarkStart w:id="8" w:name="O_901428"/>
      <w:bookmarkEnd w:id="8"/>
      <w:r w:rsidRPr="008E7C73">
        <w:t>Range of Conditions</w:t>
      </w:r>
    </w:p>
    <w:tbl>
      <w:tblPr>
        <w:tblW w:w="0" w:type="auto"/>
        <w:tblCellMar>
          <w:left w:w="62" w:type="dxa"/>
          <w:right w:w="62" w:type="dxa"/>
        </w:tblCellMar>
        <w:tblLook w:val="0000"/>
      </w:tblPr>
      <w:tblGrid>
        <w:gridCol w:w="2163"/>
        <w:gridCol w:w="7033"/>
      </w:tblGrid>
      <w:tr w:rsidTr="006522D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t xml:space="preserve">This field allows for different work environments and conditions that may affect performance. Essential operating conditions that may be present (depending on the work situation, needs of the candidate, accessibility of </w:t>
            </w:r>
            <w:r w:rsidRPr="008E7C73">
              <w:t>the item, and local industry and regional contexts) are included.</w:t>
            </w:r>
          </w:p>
        </w:tc>
      </w:tr>
      <w:tr w:rsidTr="006522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 xml:space="preserve">Standards, codes, </w:t>
            </w:r>
            <w:r w:rsidRPr="008E7C73">
              <w:rPr>
                <w:rStyle w:val="SpecialBold"/>
              </w:rPr>
              <w:t xml:space="preserve">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 xml:space="preserve">Standards, codes, procedures and/or workplace requirements include the latest </w:t>
            </w:r>
            <w:r w:rsidRPr="008E7C73">
              <w:t>version of one or more of:</w:t>
            </w:r>
          </w:p>
          <w:p w:rsidR="00000000" w:rsidRPr="008E7C73" w:rsidP="008E7C73">
            <w:pPr>
              <w:pStyle w:val="ListBullet"/>
            </w:pPr>
            <w:r w:rsidRPr="008E7C73">
              <w:t>Australian and interna</w:t>
            </w:r>
            <w:r w:rsidRPr="008E7C73">
              <w:t>tional standards, guidelines and codes covering laboratory safety, competence of testing and calibration laboratories, laboratory design and construction, occupational protective equipment; labelling of workplace substances, storage and handling of dangero</w:t>
            </w:r>
            <w:r w:rsidRPr="008E7C73">
              <w:t>us goods, physical containment levels and facility types, safety cabinets, quality and environmental management</w:t>
            </w:r>
          </w:p>
          <w:p w:rsidR="00000000" w:rsidRPr="008E7C73" w:rsidP="008E7C73">
            <w:pPr>
              <w:pStyle w:val="ListBullet"/>
            </w:pPr>
            <w:r w:rsidRPr="008E7C73">
              <w:t>national work health and safety (WHS) standards and codes of practice</w:t>
            </w:r>
          </w:p>
          <w:p w:rsidR="00000000" w:rsidRPr="008E7C73" w:rsidP="008E7C73">
            <w:pPr>
              <w:pStyle w:val="ListBullet"/>
            </w:pPr>
            <w:r w:rsidRPr="008E7C73">
              <w:t>specific codes, guidelines and methods, such as medico-legal and laborator</w:t>
            </w:r>
            <w:r w:rsidRPr="008E7C73">
              <w:t>y accreditation requirements for traceability of specimens and records</w:t>
            </w:r>
          </w:p>
          <w:p w:rsidR="00000000" w:rsidRPr="008E7C73" w:rsidP="008E7C73">
            <w:pPr>
              <w:pStyle w:val="ListBullet"/>
            </w:pPr>
            <w:r w:rsidRPr="008E7C73">
              <w:t>workplace documents, such as SOPs; quality procedures; equipment manuals; calibration and maintenance schedules; material safety data sheets (MSDS) and safety procedures; laboratory sch</w:t>
            </w:r>
            <w:r w:rsidRPr="008E7C73">
              <w:t>edules; workplace recording and reporting procedures; waste minimisation, containment, processing and safe disposal procedures; cleaning, hygiene and personal hygiene requirements</w:t>
            </w:r>
          </w:p>
          <w:p w:rsidR="00000000" w:rsidRPr="008E7C73" w:rsidP="008E7C73">
            <w:pPr>
              <w:pStyle w:val="ListBullet"/>
            </w:pPr>
            <w:r w:rsidRPr="008E7C73">
              <w:t>instructions to comply with new legislation, standards, guidelines and codes</w:t>
            </w:r>
          </w:p>
          <w:p w:rsidR="00000000" w:rsidRPr="008E7C73" w:rsidP="008E7C73">
            <w:pPr>
              <w:pStyle w:val="ListBullet"/>
            </w:pPr>
            <w:r w:rsidRPr="008E7C73">
              <w:t>sampling procedures (labelling, preparation, storage, transport and disposal)</w:t>
            </w:r>
          </w:p>
          <w:p w:rsidR="00000000" w:rsidRPr="008E7C73" w:rsidP="008E7C73">
            <w:pPr>
              <w:pStyle w:val="ListBullet"/>
            </w:pPr>
            <w:r w:rsidRPr="008E7C73">
              <w:t>test procedures (validated and authorised)</w:t>
            </w:r>
          </w:p>
          <w:p w:rsidR="00000000" w:rsidRPr="008E7C73" w:rsidP="008E7C73">
            <w:pPr>
              <w:pStyle w:val="ListBullet"/>
            </w:pPr>
            <w:r w:rsidRPr="008E7C73">
              <w:t>schematics, work flows, and laboratory stock records and inventory</w:t>
            </w:r>
          </w:p>
          <w:p w:rsidR="00000000" w:rsidP="008E7C73">
            <w:pPr>
              <w:pStyle w:val="BodyText"/>
              <w:rPr>
                <w:lang w:val="en-NZ"/>
              </w:rPr>
            </w:pPr>
          </w:p>
        </w:tc>
      </w:tr>
      <w:tr w:rsidTr="006522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 xml:space="preserve">Communication </w:t>
            </w:r>
          </w:p>
        </w:tc>
        <w:tc>
          <w:tcPr>
            <w:tcW w:w="0" w:type="auto"/>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 xml:space="preserve">Communication involves interactions with one or </w:t>
            </w:r>
            <w:r w:rsidRPr="008E7C73">
              <w:t>more of:</w:t>
            </w:r>
          </w:p>
          <w:p w:rsidR="00000000" w:rsidRPr="008E7C73" w:rsidP="008E7C73">
            <w:pPr>
              <w:pStyle w:val="ListBullet"/>
            </w:pPr>
            <w:r w:rsidRPr="008E7C73">
              <w:t>supervisors and managers (laboratory, quality and customer service)</w:t>
            </w:r>
          </w:p>
          <w:p w:rsidR="00000000" w:rsidRPr="008E7C73" w:rsidP="008E7C73">
            <w:pPr>
              <w:pStyle w:val="ListBullet"/>
            </w:pPr>
            <w:r w:rsidRPr="008E7C73">
              <w:t>clients, including other laboratory or clinical personnel (pathologists, nursing staff, pathology registrars, other medical staff and clerical staff)</w:t>
            </w:r>
          </w:p>
          <w:p w:rsidR="00000000" w:rsidP="008E7C73">
            <w:pPr>
              <w:pStyle w:val="BodyText"/>
              <w:rPr>
                <w:lang w:val="en-NZ"/>
              </w:rPr>
            </w:pPr>
          </w:p>
        </w:tc>
      </w:tr>
      <w:tr w:rsidTr="006522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Safe w</w:t>
            </w:r>
            <w:r w:rsidRPr="008E7C73">
              <w:t>ork practices include, but are not limited to, one or more of:</w:t>
            </w:r>
          </w:p>
          <w:p w:rsidR="00000000" w:rsidRPr="008E7C73" w:rsidP="008E7C73">
            <w:pPr>
              <w:pStyle w:val="ListBullet"/>
            </w:pPr>
            <w:r w:rsidRPr="008E7C73">
              <w:t>ensuring access to service shut-off points</w:t>
            </w:r>
          </w:p>
          <w:p w:rsidR="00000000" w:rsidRPr="008E7C73" w:rsidP="008E7C73">
            <w:pPr>
              <w:pStyle w:val="ListBullet"/>
            </w:pPr>
            <w:r w:rsidRPr="008E7C73">
              <w:t>recognising and observing hazard warnings and safety signs</w:t>
            </w:r>
          </w:p>
          <w:p w:rsidR="00000000" w:rsidRPr="008E7C73" w:rsidP="008E7C73">
            <w:pPr>
              <w:pStyle w:val="ListBullet"/>
            </w:pPr>
            <w:r w:rsidRPr="008E7C73">
              <w:t>labelling of samples, reagents, aliquoted samples and hazardous materials</w:t>
            </w:r>
          </w:p>
          <w:p w:rsidR="00000000" w:rsidRPr="008E7C73" w:rsidP="008E7C73">
            <w:pPr>
              <w:pStyle w:val="ListBullet"/>
            </w:pPr>
            <w:r w:rsidRPr="008E7C73">
              <w:t>handling and storage of hazardous materials and equipment in accordance with labelling, MSDS and manufacturer instructions</w:t>
            </w:r>
          </w:p>
          <w:p w:rsidR="00000000" w:rsidRPr="008E7C73" w:rsidP="008E7C73">
            <w:pPr>
              <w:pStyle w:val="ListBullet"/>
            </w:pPr>
            <w:r w:rsidRPr="008E7C73">
              <w:t>identifying and reporting operating problems or equipment malfunctions</w:t>
            </w:r>
          </w:p>
          <w:p w:rsidR="00000000" w:rsidRPr="008E7C73" w:rsidP="008E7C73">
            <w:pPr>
              <w:pStyle w:val="ListBullet"/>
            </w:pPr>
            <w:r w:rsidRPr="008E7C73">
              <w:t>cleaning and decontaminating equipment and work areas regularl</w:t>
            </w:r>
            <w:r w:rsidRPr="008E7C73">
              <w:t>y using workplace procedures</w:t>
            </w:r>
          </w:p>
          <w:p w:rsidR="00000000" w:rsidRPr="008E7C73" w:rsidP="008E7C73">
            <w:pPr>
              <w:pStyle w:val="ListBullet"/>
            </w:pPr>
            <w:r w:rsidRPr="008E7C73">
              <w:t>using PPE, such as gloves, safety glasses, coveralls and gowns</w:t>
            </w:r>
          </w:p>
          <w:p w:rsidR="00000000" w:rsidRPr="008E7C73" w:rsidP="008E7C73">
            <w:pPr>
              <w:pStyle w:val="ListBullet"/>
            </w:pPr>
            <w:r w:rsidRPr="008E7C73">
              <w:t>using containment facilities (e.g. PCII, PCIII and PCIV physical containment laboratories), containment equipment (e.g. biohazard containers, laminar flow cabinets,</w:t>
            </w:r>
            <w:r w:rsidRPr="008E7C73">
              <w:t xml:space="preserve"> Class I, II and III biohazard cabinets) and containment procedures</w:t>
            </w:r>
          </w:p>
          <w:p w:rsidR="00000000" w:rsidP="008E7C73">
            <w:pPr>
              <w:pStyle w:val="BodyText"/>
              <w:rPr>
                <w:lang w:val="en-NZ"/>
              </w:rPr>
            </w:pPr>
          </w:p>
        </w:tc>
      </w:tr>
      <w:tr w:rsidTr="006522D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E7C73">
            <w:pPr>
              <w:pStyle w:val="BodyText"/>
              <w:rPr>
                <w:lang w:val="en-NZ"/>
              </w:rPr>
            </w:pPr>
            <w:r w:rsidRPr="008E7C73">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8E7C73" w:rsidP="008E7C73">
            <w:pPr>
              <w:pStyle w:val="BodyText"/>
            </w:pPr>
            <w:r w:rsidRPr="008E7C73">
              <w:t>WHS and environmental management requirements include:</w:t>
            </w:r>
          </w:p>
          <w:p w:rsidR="00000000" w:rsidRPr="008E7C73" w:rsidP="008E7C73">
            <w:pPr>
              <w:pStyle w:val="ListBullet"/>
            </w:pPr>
            <w:r w:rsidRPr="008E7C73">
              <w:t>complying with WHS and environmental management requirements at all times, which ma</w:t>
            </w:r>
            <w:r w:rsidRPr="008E7C73">
              <w:t>y be imposed through state/territory or federal legislation. These requirements must not be compromised at any time</w:t>
            </w:r>
          </w:p>
          <w:p w:rsidR="00000000" w:rsidRPr="008E7C73" w:rsidP="008E7C73">
            <w:pPr>
              <w:pStyle w:val="BodyText"/>
            </w:pPr>
            <w:r w:rsidRPr="008E7C73">
              <w:rPr>
                <w:rStyle w:val="Symbols"/>
              </w:rPr>
              <w:t></w:t>
            </w:r>
            <w:r w:rsidRPr="008E7C73">
              <w:rPr>
                <w:rStyle w:val="Symbols"/>
              </w:rPr>
              <w:tab/>
            </w:r>
            <w:r w:rsidRPr="008E7C73">
              <w:t>applying standard precautions relating to the potentially hazardous nature of samples</w:t>
            </w:r>
          </w:p>
          <w:p w:rsidR="00000000" w:rsidRPr="008E7C73" w:rsidP="008E7C73">
            <w:pPr>
              <w:pStyle w:val="ListBullet"/>
            </w:pPr>
            <w:r w:rsidRPr="008E7C73">
              <w:t>accessing and applying current industry understandi</w:t>
            </w:r>
            <w:r w:rsidRPr="008E7C73">
              <w:t>ng of infection control issued by the National Health and Medical Research Council (NHMRC) and State and Territory Departments of Health, where relevant</w:t>
            </w:r>
          </w:p>
        </w:tc>
      </w:tr>
    </w:tbl>
    <w:p w:rsidR="00000000" w:rsidRPr="008E7C73" w:rsidP="008E7C73">
      <w:pPr>
        <w:pStyle w:val="BodyText"/>
      </w:pPr>
    </w:p>
    <w:p w:rsidR="00000000" w:rsidRPr="008E7C73" w:rsidP="008E7C73">
      <w:pPr>
        <w:pStyle w:val="AllowPageBreak"/>
      </w:pPr>
    </w:p>
    <w:p w:rsidR="00000000" w:rsidRPr="008E7C73" w:rsidP="008E7C73">
      <w:pPr>
        <w:pStyle w:val="Heading1"/>
      </w:pPr>
      <w:bookmarkStart w:id="9" w:name="O_901427"/>
      <w:bookmarkEnd w:id="9"/>
      <w:r w:rsidRPr="008E7C73">
        <w:t>Unit Mapping Information</w:t>
      </w:r>
    </w:p>
    <w:p w:rsidR="00000000" w:rsidRPr="008E7C73" w:rsidP="008E7C73">
      <w:pPr>
        <w:pStyle w:val="BodyText"/>
      </w:pPr>
      <w:r w:rsidRPr="008E7C73">
        <w:t>Release 1. Supersedes and is equivalent to MSL975003A Perform histological tests</w:t>
      </w:r>
    </w:p>
    <w:p w:rsidR="00000000" w:rsidRPr="008E7C73" w:rsidP="008E7C73">
      <w:pPr>
        <w:pStyle w:val="AllowPageBreak"/>
      </w:pPr>
    </w:p>
    <w:p w:rsidR="00000000" w:rsidRPr="008E7C73" w:rsidP="008E7C73">
      <w:pPr>
        <w:pStyle w:val="Heading1"/>
      </w:pPr>
      <w:bookmarkStart w:id="10" w:name="O_901420"/>
      <w:bookmarkEnd w:id="10"/>
      <w:r w:rsidRPr="008E7C73">
        <w:t>Links</w:t>
      </w:r>
    </w:p>
    <w:p w:rsidR="00000000" w:rsidRPr="008E7C73" w:rsidP="008E7C73">
      <w:pPr>
        <w:pStyle w:val="BodyText"/>
      </w:pPr>
      <w:r w:rsidRPr="008E7C73">
        <w:t>MSA Training Package Implementation Guides - http://mskills.org.au/training-packages/info/</w:t>
      </w:r>
    </w:p>
    <w:p w:rsidR="00000000" w:rsidRPr="008E7C73" w:rsidP="008E7C73"/>
    <w:sectPr w:rsidSect="008E7C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3" w:rsidRPr="006522D3" w:rsidP="006522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D3" w:rsidP="008E7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522D3" w:rsidP="008E7C7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522D3" w:rsidP="008E7C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3" w:rsidRPr="006522D3" w:rsidP="006522D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2D3" w:rsidRPr="002D2AF8" w:rsidP="008E7C73">
    <w:pPr>
      <w:pStyle w:val="Header"/>
      <w:framePr w:wrap="around"/>
    </w:pPr>
    <w:r>
      <w:fldChar w:fldCharType="begin"/>
    </w:r>
    <w:r>
      <w:instrText xml:space="preserve"> TITLE   \* MERGEFORMAT </w:instrText>
    </w:r>
    <w:r>
      <w:fldChar w:fldCharType="separate"/>
    </w:r>
    <w:r>
      <w:t>MSL975003 Perform histological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6522D3" w:rsidP="008E7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6CEB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D888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C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C73"/>
    <w:pPr>
      <w:spacing w:before="360" w:after="60"/>
      <w:outlineLvl w:val="0"/>
    </w:pPr>
    <w:rPr>
      <w:sz w:val="32"/>
    </w:rPr>
  </w:style>
  <w:style w:type="paragraph" w:styleId="Heading2">
    <w:name w:val="heading 2"/>
    <w:basedOn w:val="HeadingBase"/>
    <w:next w:val="BodyText"/>
    <w:link w:val="Heading2Char"/>
    <w:qFormat/>
    <w:rsid w:val="008E7C73"/>
    <w:pPr>
      <w:keepLines/>
      <w:spacing w:before="240" w:after="120"/>
      <w:outlineLvl w:val="1"/>
    </w:pPr>
    <w:rPr>
      <w:sz w:val="28"/>
      <w:szCs w:val="40"/>
    </w:rPr>
  </w:style>
  <w:style w:type="paragraph" w:styleId="Heading3">
    <w:name w:val="heading 3"/>
    <w:basedOn w:val="HeadingBase"/>
    <w:next w:val="BodyText"/>
    <w:link w:val="Heading3Char"/>
    <w:qFormat/>
    <w:rsid w:val="008E7C73"/>
    <w:pPr>
      <w:spacing w:before="180" w:after="120"/>
      <w:outlineLvl w:val="2"/>
    </w:pPr>
    <w:rPr>
      <w:spacing w:val="-10"/>
      <w:kern w:val="32"/>
    </w:rPr>
  </w:style>
  <w:style w:type="paragraph" w:styleId="Heading4">
    <w:name w:val="heading 4"/>
    <w:basedOn w:val="HeadingBase"/>
    <w:next w:val="BodyText"/>
    <w:link w:val="Heading4Char"/>
    <w:qFormat/>
    <w:rsid w:val="008E7C73"/>
    <w:pPr>
      <w:spacing w:before="160" w:after="120"/>
      <w:outlineLvl w:val="3"/>
    </w:pPr>
    <w:rPr>
      <w:sz w:val="22"/>
    </w:rPr>
  </w:style>
  <w:style w:type="paragraph" w:styleId="Heading5">
    <w:name w:val="heading 5"/>
    <w:basedOn w:val="HeadingBase"/>
    <w:next w:val="Normal"/>
    <w:link w:val="Heading5Char"/>
    <w:qFormat/>
    <w:rsid w:val="008E7C73"/>
    <w:pPr>
      <w:spacing w:before="80"/>
      <w:outlineLvl w:val="4"/>
    </w:pPr>
    <w:rPr>
      <w:color w:val="918585"/>
      <w:sz w:val="20"/>
    </w:rPr>
  </w:style>
  <w:style w:type="paragraph" w:styleId="Heading6">
    <w:name w:val="heading 6"/>
    <w:basedOn w:val="HeadingBase"/>
    <w:next w:val="Normal"/>
    <w:link w:val="Heading6Char"/>
    <w:qFormat/>
    <w:rsid w:val="008E7C73"/>
    <w:pPr>
      <w:spacing w:before="60"/>
      <w:outlineLvl w:val="5"/>
    </w:pPr>
    <w:rPr>
      <w:color w:val="918585"/>
      <w:sz w:val="20"/>
    </w:rPr>
  </w:style>
  <w:style w:type="paragraph" w:styleId="Heading7">
    <w:name w:val="heading 7"/>
    <w:basedOn w:val="Normal"/>
    <w:next w:val="Normal"/>
    <w:link w:val="Heading7Char"/>
    <w:qFormat/>
    <w:rsid w:val="008E7C73"/>
    <w:pPr>
      <w:ind w:left="720"/>
      <w:outlineLvl w:val="6"/>
    </w:pPr>
    <w:rPr>
      <w:i/>
    </w:rPr>
  </w:style>
  <w:style w:type="paragraph" w:styleId="Heading8">
    <w:name w:val="heading 8"/>
    <w:basedOn w:val="Normal"/>
    <w:next w:val="Normal"/>
    <w:link w:val="Heading8Char"/>
    <w:qFormat/>
    <w:rsid w:val="008E7C73"/>
    <w:pPr>
      <w:ind w:left="720"/>
      <w:outlineLvl w:val="7"/>
    </w:pPr>
    <w:rPr>
      <w:i/>
    </w:rPr>
  </w:style>
  <w:style w:type="paragraph" w:styleId="Heading9">
    <w:name w:val="heading 9"/>
    <w:basedOn w:val="Normal"/>
    <w:next w:val="Normal"/>
    <w:link w:val="Heading9Char"/>
    <w:qFormat/>
    <w:rsid w:val="008E7C73"/>
    <w:pPr>
      <w:ind w:left="720"/>
      <w:outlineLvl w:val="8"/>
    </w:pPr>
    <w:rPr>
      <w:i/>
    </w:rPr>
  </w:style>
  <w:style w:type="character" w:default="1" w:styleId="DefaultParagraphFont">
    <w:name w:val="Default Paragraph Font"/>
    <w:uiPriority w:val="1"/>
    <w:unhideWhenUsed/>
    <w:rsid w:val="008E7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C73"/>
  </w:style>
  <w:style w:type="character" w:customStyle="1" w:styleId="Heading1Char">
    <w:name w:val="Heading 1 Char"/>
    <w:basedOn w:val="DefaultParagraphFont"/>
    <w:link w:val="Heading1"/>
    <w:rsid w:val="008E7C73"/>
    <w:rPr>
      <w:rFonts w:ascii="Times New Roman" w:eastAsia="Times New Roman" w:hAnsi="Times New Roman" w:cs="Times New Roman"/>
      <w:b/>
      <w:sz w:val="32"/>
      <w:szCs w:val="20"/>
      <w:lang w:eastAsia="en-US"/>
    </w:rPr>
  </w:style>
  <w:style w:type="paragraph" w:styleId="BodyText">
    <w:name w:val="Body Text"/>
    <w:basedOn w:val="Normal"/>
    <w:link w:val="BodyTextChar"/>
    <w:rsid w:val="008E7C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7C73"/>
    <w:rPr>
      <w:rFonts w:ascii="Times New Roman" w:eastAsia="Times New Roman" w:hAnsi="Times New Roman" w:cs="Times New Roman"/>
      <w:sz w:val="24"/>
      <w:lang w:eastAsia="en-US"/>
    </w:rPr>
  </w:style>
  <w:style w:type="paragraph" w:styleId="ListBullet">
    <w:name w:val="List Bullet"/>
    <w:basedOn w:val="List"/>
    <w:rsid w:val="008E7C73"/>
    <w:pPr>
      <w:numPr>
        <w:numId w:val="12"/>
      </w:numPr>
      <w:tabs>
        <w:tab w:val="clear" w:pos="340"/>
      </w:tabs>
      <w:spacing w:before="40" w:after="40"/>
    </w:pPr>
  </w:style>
  <w:style w:type="character" w:customStyle="1" w:styleId="SpecialBold">
    <w:name w:val="Special Bold"/>
    <w:basedOn w:val="DefaultParagraphFont"/>
    <w:rsid w:val="008E7C73"/>
    <w:rPr>
      <w:b/>
      <w:spacing w:val="0"/>
    </w:rPr>
  </w:style>
  <w:style w:type="paragraph" w:customStyle="1" w:styleId="SuperHeading">
    <w:name w:val="SuperHeading"/>
    <w:basedOn w:val="Normal"/>
    <w:rsid w:val="008E7C73"/>
    <w:pPr>
      <w:spacing w:before="240" w:after="120"/>
      <w:outlineLvl w:val="0"/>
    </w:pPr>
    <w:rPr>
      <w:rFonts w:ascii="Times New Roman" w:hAnsi="Times New Roman"/>
      <w:b/>
      <w:sz w:val="32"/>
    </w:rPr>
  </w:style>
  <w:style w:type="paragraph" w:customStyle="1" w:styleId="AllowPageBreak">
    <w:name w:val="AllowPageBreak"/>
    <w:rsid w:val="008E7C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8E7C73"/>
    <w:rPr>
      <w:rFonts w:ascii="Symbol" w:hAnsi="Symbol"/>
    </w:rPr>
  </w:style>
  <w:style w:type="character" w:customStyle="1" w:styleId="Heading2Char">
    <w:name w:val="Heading 2 Char"/>
    <w:basedOn w:val="DefaultParagraphFont"/>
    <w:link w:val="Heading2"/>
    <w:rsid w:val="008E7C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C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C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C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C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C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C73"/>
    <w:rPr>
      <w:rFonts w:ascii="Courier New" w:eastAsia="Times New Roman" w:hAnsi="Courier New" w:cs="Times New Roman"/>
      <w:i/>
      <w:szCs w:val="20"/>
      <w:lang w:eastAsia="en-US"/>
    </w:rPr>
  </w:style>
  <w:style w:type="paragraph" w:customStyle="1" w:styleId="HeadingBase">
    <w:name w:val="Heading Base"/>
    <w:rsid w:val="008E7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C73"/>
    <w:pPr>
      <w:tabs>
        <w:tab w:val="right" w:leader="dot" w:pos="9072"/>
      </w:tabs>
      <w:ind w:left="567"/>
    </w:pPr>
    <w:rPr>
      <w:szCs w:val="22"/>
    </w:rPr>
  </w:style>
  <w:style w:type="paragraph" w:customStyle="1" w:styleId="TOCBase">
    <w:name w:val="TOC Base"/>
    <w:rsid w:val="008E7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C73"/>
    <w:pPr>
      <w:tabs>
        <w:tab w:val="right" w:leader="dot" w:pos="9072"/>
      </w:tabs>
      <w:spacing w:before="40" w:after="40"/>
      <w:ind w:left="284"/>
    </w:pPr>
    <w:rPr>
      <w:rFonts w:ascii="Times New Roman" w:hAnsi="Times New Roman"/>
    </w:rPr>
  </w:style>
  <w:style w:type="paragraph" w:styleId="TOC1">
    <w:name w:val="toc 1"/>
    <w:basedOn w:val="TOCBase"/>
    <w:next w:val="Normal"/>
    <w:rsid w:val="008E7C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C73"/>
    <w:rPr>
      <w:rFonts w:ascii="Times New Roman" w:eastAsia="Times New Roman" w:hAnsi="Times New Roman" w:cs="Times New Roman"/>
      <w:sz w:val="16"/>
      <w:lang w:eastAsia="en-US"/>
    </w:rPr>
  </w:style>
  <w:style w:type="paragraph" w:styleId="Title">
    <w:name w:val="Title"/>
    <w:basedOn w:val="HeadingBase"/>
    <w:link w:val="TitleChar"/>
    <w:qFormat/>
    <w:rsid w:val="008E7C73"/>
    <w:pPr>
      <w:spacing w:before="5040"/>
      <w:jc w:val="center"/>
    </w:pPr>
    <w:rPr>
      <w:sz w:val="48"/>
      <w:szCs w:val="72"/>
      <w:lang w:val="en-US"/>
    </w:rPr>
  </w:style>
  <w:style w:type="character" w:customStyle="1" w:styleId="TitleChar">
    <w:name w:val="Title Char"/>
    <w:basedOn w:val="DefaultParagraphFont"/>
    <w:link w:val="Title"/>
    <w:rsid w:val="008E7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C73"/>
    <w:pPr>
      <w:tabs>
        <w:tab w:val="left" w:pos="3600"/>
        <w:tab w:val="left" w:pos="3958"/>
      </w:tabs>
    </w:pPr>
  </w:style>
  <w:style w:type="paragraph" w:styleId="List">
    <w:name w:val="List"/>
    <w:basedOn w:val="BodyText"/>
    <w:next w:val="BodyText"/>
    <w:rsid w:val="008E7C73"/>
    <w:pPr>
      <w:tabs>
        <w:tab w:val="left" w:pos="340"/>
      </w:tabs>
      <w:spacing w:before="60" w:after="60"/>
      <w:ind w:left="340" w:hanging="340"/>
    </w:pPr>
  </w:style>
  <w:style w:type="paragraph" w:customStyle="1" w:styleId="Note">
    <w:name w:val="Note"/>
    <w:basedOn w:val="BodyText"/>
    <w:rsid w:val="008E7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C73"/>
    <w:pPr>
      <w:framePr w:wrap="auto" w:hAnchor="text" w:y="6049"/>
    </w:pPr>
    <w:rPr>
      <w:color w:val="000000"/>
      <w:sz w:val="40"/>
    </w:rPr>
  </w:style>
  <w:style w:type="paragraph" w:customStyle="1" w:styleId="TOCTitle">
    <w:name w:val="TOCTitle"/>
    <w:basedOn w:val="Heading1"/>
    <w:rsid w:val="008E7C73"/>
    <w:pPr>
      <w:spacing w:after="240"/>
      <w:jc w:val="center"/>
      <w:outlineLvl w:val="9"/>
    </w:pPr>
    <w:rPr>
      <w:caps/>
    </w:rPr>
  </w:style>
  <w:style w:type="paragraph" w:customStyle="1" w:styleId="Version">
    <w:name w:val="Version"/>
    <w:rsid w:val="008E7C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7C73"/>
    <w:pPr>
      <w:numPr>
        <w:numId w:val="13"/>
      </w:numPr>
      <w:tabs>
        <w:tab w:val="clear" w:pos="680"/>
      </w:tabs>
    </w:pPr>
  </w:style>
  <w:style w:type="paragraph" w:styleId="Index1">
    <w:name w:val="index 1"/>
    <w:basedOn w:val="Normal"/>
    <w:next w:val="Normal"/>
    <w:semiHidden/>
    <w:rsid w:val="008E7C73"/>
    <w:pPr>
      <w:keepNext w:val="0"/>
      <w:tabs>
        <w:tab w:val="right" w:pos="4176"/>
      </w:tabs>
      <w:ind w:left="198" w:hanging="198"/>
    </w:pPr>
    <w:rPr>
      <w:rFonts w:ascii="Garamond" w:hAnsi="Garamond"/>
    </w:rPr>
  </w:style>
  <w:style w:type="paragraph" w:styleId="IndexHeading">
    <w:name w:val="index heading"/>
    <w:basedOn w:val="Normal"/>
    <w:next w:val="Index1"/>
    <w:semiHidden/>
    <w:rsid w:val="008E7C73"/>
    <w:pPr>
      <w:spacing w:before="120" w:after="120"/>
    </w:pPr>
    <w:rPr>
      <w:rFonts w:ascii="Arial" w:hAnsi="Arial"/>
      <w:b/>
      <w:color w:val="918585"/>
      <w:sz w:val="24"/>
    </w:rPr>
  </w:style>
  <w:style w:type="paragraph" w:styleId="Header">
    <w:name w:val="header"/>
    <w:basedOn w:val="Normal"/>
    <w:link w:val="HeaderChar"/>
    <w:rsid w:val="008E7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C73"/>
    <w:rPr>
      <w:rFonts w:ascii="Times New Roman" w:eastAsia="Times New Roman" w:hAnsi="Times New Roman" w:cs="Times New Roman"/>
      <w:sz w:val="16"/>
      <w:szCs w:val="20"/>
      <w:lang w:val="en-GB" w:eastAsia="en-US"/>
    </w:rPr>
  </w:style>
  <w:style w:type="paragraph" w:customStyle="1" w:styleId="Chapter">
    <w:name w:val="Chapter"/>
    <w:basedOn w:val="Normal"/>
    <w:rsid w:val="008E7C73"/>
    <w:pPr>
      <w:spacing w:before="240"/>
    </w:pPr>
    <w:rPr>
      <w:rFonts w:ascii="Times New Roman" w:hAnsi="Times New Roman"/>
      <w:smallCaps/>
      <w:spacing w:val="80"/>
      <w:sz w:val="28"/>
    </w:rPr>
  </w:style>
  <w:style w:type="paragraph" w:customStyle="1" w:styleId="InChapter">
    <w:name w:val="InChapter"/>
    <w:basedOn w:val="Heading3"/>
    <w:rsid w:val="008E7C73"/>
    <w:pPr>
      <w:spacing w:after="240"/>
      <w:outlineLvl w:val="9"/>
    </w:pPr>
    <w:rPr>
      <w:noProof/>
    </w:rPr>
  </w:style>
  <w:style w:type="paragraph" w:styleId="Index2">
    <w:name w:val="index 2"/>
    <w:basedOn w:val="Normal"/>
    <w:next w:val="Normal"/>
    <w:semiHidden/>
    <w:rsid w:val="008E7C73"/>
    <w:pPr>
      <w:tabs>
        <w:tab w:val="right" w:pos="4176"/>
      </w:tabs>
      <w:ind w:left="568" w:hanging="284"/>
    </w:pPr>
    <w:rPr>
      <w:rFonts w:ascii="Garamond" w:hAnsi="Garamond"/>
    </w:rPr>
  </w:style>
  <w:style w:type="paragraph" w:customStyle="1" w:styleId="Byline">
    <w:name w:val="Byline"/>
    <w:rsid w:val="008E7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C73"/>
    <w:pPr>
      <w:tabs>
        <w:tab w:val="clear" w:pos="3600"/>
        <w:tab w:val="clear" w:pos="3958"/>
      </w:tabs>
      <w:jc w:val="right"/>
    </w:pPr>
  </w:style>
  <w:style w:type="character" w:styleId="Emphasis">
    <w:name w:val="Emphasis"/>
    <w:basedOn w:val="DefaultParagraphFont"/>
    <w:qFormat/>
    <w:rsid w:val="008E7C73"/>
    <w:rPr>
      <w:i/>
    </w:rPr>
  </w:style>
  <w:style w:type="paragraph" w:styleId="Caption">
    <w:name w:val="caption"/>
    <w:basedOn w:val="BodyText"/>
    <w:next w:val="Normal"/>
    <w:qFormat/>
    <w:rsid w:val="008E7C73"/>
    <w:pPr>
      <w:framePr w:w="2268" w:hSpace="181" w:vSpace="181" w:wrap="around" w:vAnchor="text" w:hAnchor="page" w:x="1135" w:y="285" w:anchorLock="1"/>
    </w:pPr>
    <w:rPr>
      <w:i/>
    </w:rPr>
  </w:style>
  <w:style w:type="paragraph" w:customStyle="1" w:styleId="MiniTOCTitle">
    <w:name w:val="MiniTOCTitle"/>
    <w:basedOn w:val="Heading4"/>
    <w:rsid w:val="008E7C73"/>
    <w:pPr>
      <w:spacing w:before="240"/>
      <w:outlineLvl w:val="9"/>
    </w:pPr>
    <w:rPr>
      <w:noProof/>
      <w:sz w:val="24"/>
    </w:rPr>
  </w:style>
  <w:style w:type="paragraph" w:customStyle="1" w:styleId="MiniTOCItem">
    <w:name w:val="MiniTOCItem"/>
    <w:basedOn w:val="ListBullet"/>
    <w:rsid w:val="008E7C73"/>
    <w:pPr>
      <w:numPr>
        <w:numId w:val="0"/>
      </w:numPr>
      <w:tabs>
        <w:tab w:val="right" w:leader="dot" w:pos="6521"/>
      </w:tabs>
      <w:spacing w:before="0" w:after="0"/>
    </w:pPr>
  </w:style>
  <w:style w:type="paragraph" w:customStyle="1" w:styleId="TOFTitle">
    <w:name w:val="TOFTitle"/>
    <w:basedOn w:val="TOCTitle"/>
    <w:rsid w:val="008E7C73"/>
  </w:style>
  <w:style w:type="paragraph" w:styleId="TableofFigures">
    <w:name w:val="table of figures"/>
    <w:basedOn w:val="Normal"/>
    <w:next w:val="Normal"/>
    <w:semiHidden/>
    <w:rsid w:val="008E7C73"/>
    <w:pPr>
      <w:tabs>
        <w:tab w:val="right" w:leader="dot" w:pos="9072"/>
      </w:tabs>
      <w:ind w:left="970" w:hanging="403"/>
    </w:pPr>
    <w:rPr>
      <w:rFonts w:ascii="Times New Roman" w:hAnsi="Times New Roman"/>
      <w:b/>
    </w:rPr>
  </w:style>
  <w:style w:type="paragraph" w:styleId="ListNumber">
    <w:name w:val="List Number"/>
    <w:basedOn w:val="List"/>
    <w:rsid w:val="008E7C73"/>
    <w:pPr>
      <w:numPr>
        <w:numId w:val="10"/>
      </w:numPr>
    </w:pPr>
  </w:style>
  <w:style w:type="character" w:customStyle="1" w:styleId="WingdingSymbols">
    <w:name w:val="Wingding Symbols"/>
    <w:rsid w:val="008E7C73"/>
    <w:rPr>
      <w:rFonts w:ascii="Wingdings" w:hAnsi="Wingdings"/>
    </w:rPr>
  </w:style>
  <w:style w:type="paragraph" w:customStyle="1" w:styleId="TableHeading">
    <w:name w:val="Table Heading"/>
    <w:basedOn w:val="HeadingBase"/>
    <w:rsid w:val="008E7C73"/>
    <w:pPr>
      <w:keepLines/>
      <w:pBdr>
        <w:bottom w:val="single" w:sz="6" w:space="1" w:color="918585"/>
      </w:pBdr>
      <w:spacing w:before="240"/>
    </w:pPr>
  </w:style>
  <w:style w:type="character" w:customStyle="1" w:styleId="HotSpot">
    <w:name w:val="HotSpot"/>
    <w:rsid w:val="008E7C73"/>
    <w:rPr>
      <w:color w:val="0033CC"/>
      <w:u w:val="none"/>
    </w:rPr>
  </w:style>
  <w:style w:type="paragraph" w:customStyle="1" w:styleId="BodyTextRight">
    <w:name w:val="Body Text Right"/>
    <w:basedOn w:val="BodyText"/>
    <w:rsid w:val="008E7C73"/>
    <w:pPr>
      <w:spacing w:before="0" w:after="0"/>
      <w:jc w:val="right"/>
    </w:pPr>
  </w:style>
  <w:style w:type="paragraph" w:styleId="Index3">
    <w:name w:val="index 3"/>
    <w:basedOn w:val="ListNumber2"/>
    <w:next w:val="Normal"/>
    <w:semiHidden/>
    <w:rsid w:val="008E7C73"/>
    <w:pPr>
      <w:numPr>
        <w:numId w:val="0"/>
      </w:numPr>
      <w:tabs>
        <w:tab w:val="right" w:leader="dot" w:pos="4176"/>
      </w:tabs>
    </w:pPr>
  </w:style>
  <w:style w:type="paragraph" w:styleId="ListNumber2">
    <w:name w:val="List Number 2"/>
    <w:basedOn w:val="List2"/>
    <w:rsid w:val="008E7C73"/>
    <w:pPr>
      <w:numPr>
        <w:numId w:val="9"/>
      </w:numPr>
      <w:tabs>
        <w:tab w:val="clear" w:pos="1060"/>
      </w:tabs>
    </w:pPr>
  </w:style>
  <w:style w:type="paragraph" w:customStyle="1" w:styleId="MarginNote">
    <w:name w:val="Margin Note"/>
    <w:basedOn w:val="BodyText"/>
    <w:rsid w:val="008E7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C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C73"/>
    <w:rPr>
      <w:sz w:val="32"/>
    </w:rPr>
  </w:style>
  <w:style w:type="paragraph" w:customStyle="1" w:styleId="HeadingProcedure">
    <w:name w:val="Heading Procedure"/>
    <w:basedOn w:val="HeadingBase"/>
    <w:next w:val="Normal"/>
    <w:rsid w:val="008E7C73"/>
    <w:pPr>
      <w:tabs>
        <w:tab w:val="left" w:pos="0"/>
      </w:tabs>
      <w:spacing w:before="120" w:after="60"/>
    </w:pPr>
    <w:rPr>
      <w:i/>
      <w:color w:val="918585"/>
      <w:sz w:val="22"/>
    </w:rPr>
  </w:style>
  <w:style w:type="paragraph" w:customStyle="1" w:styleId="TableBodyText">
    <w:name w:val="Table Body Text"/>
    <w:basedOn w:val="BodyText"/>
    <w:rsid w:val="008E7C73"/>
    <w:pPr>
      <w:spacing w:before="60" w:after="60"/>
    </w:pPr>
  </w:style>
  <w:style w:type="paragraph" w:styleId="ListContinue">
    <w:name w:val="List Continue"/>
    <w:basedOn w:val="List"/>
    <w:rsid w:val="008E7C73"/>
    <w:pPr>
      <w:ind w:firstLine="0"/>
    </w:pPr>
  </w:style>
  <w:style w:type="paragraph" w:customStyle="1" w:styleId="ListNote">
    <w:name w:val="List Note"/>
    <w:basedOn w:val="List"/>
    <w:rsid w:val="008E7C73"/>
    <w:pPr>
      <w:pBdr>
        <w:top w:val="single" w:sz="6" w:space="2" w:color="918585"/>
        <w:bottom w:val="single" w:sz="6" w:space="2" w:color="918585"/>
      </w:pBdr>
      <w:tabs>
        <w:tab w:val="left" w:pos="1021"/>
      </w:tabs>
      <w:ind w:firstLine="0"/>
    </w:pPr>
  </w:style>
  <w:style w:type="paragraph" w:customStyle="1" w:styleId="Warning">
    <w:name w:val="Warning"/>
    <w:basedOn w:val="BodyText"/>
    <w:rsid w:val="008E7C73"/>
    <w:pPr>
      <w:shd w:val="clear" w:color="auto" w:fill="D9D9D9"/>
      <w:tabs>
        <w:tab w:val="left" w:pos="992"/>
      </w:tabs>
      <w:ind w:left="119" w:right="119"/>
    </w:pPr>
    <w:rPr>
      <w:sz w:val="20"/>
    </w:rPr>
  </w:style>
  <w:style w:type="paragraph" w:customStyle="1" w:styleId="MarginIcons">
    <w:name w:val="Margin Icons"/>
    <w:basedOn w:val="BodyText"/>
    <w:rsid w:val="008E7C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C73"/>
    <w:rPr>
      <w:rFonts w:ascii="Courier New" w:hAnsi="Courier New"/>
    </w:rPr>
  </w:style>
  <w:style w:type="paragraph" w:customStyle="1" w:styleId="NoteBullet">
    <w:name w:val="Note Bullet"/>
    <w:basedOn w:val="Note"/>
    <w:rsid w:val="008E7C73"/>
    <w:pPr>
      <w:tabs>
        <w:tab w:val="clear" w:pos="680"/>
      </w:tabs>
      <w:spacing w:before="60" w:after="60"/>
    </w:pPr>
  </w:style>
  <w:style w:type="paragraph" w:customStyle="1" w:styleId="SubHeading2">
    <w:name w:val="SubHeading2"/>
    <w:basedOn w:val="HeadingBase"/>
    <w:rsid w:val="008E7C73"/>
    <w:pPr>
      <w:spacing w:before="240" w:after="60"/>
    </w:pPr>
    <w:rPr>
      <w:sz w:val="20"/>
    </w:rPr>
  </w:style>
  <w:style w:type="paragraph" w:customStyle="1" w:styleId="SubHeading1">
    <w:name w:val="SubHeading1"/>
    <w:basedOn w:val="HeadingBase"/>
    <w:rsid w:val="008E7C73"/>
    <w:pPr>
      <w:spacing w:before="240" w:after="60"/>
    </w:pPr>
    <w:rPr>
      <w:color w:val="918585"/>
      <w:sz w:val="22"/>
    </w:rPr>
  </w:style>
  <w:style w:type="paragraph" w:customStyle="1" w:styleId="SideHeading">
    <w:name w:val="Side Heading"/>
    <w:basedOn w:val="HeadingBase"/>
    <w:rsid w:val="008E7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C73"/>
    <w:pPr>
      <w:tabs>
        <w:tab w:val="num" w:pos="360"/>
      </w:tabs>
    </w:pPr>
  </w:style>
  <w:style w:type="paragraph" w:styleId="PlainText">
    <w:name w:val="Plain Text"/>
    <w:basedOn w:val="Normal"/>
    <w:link w:val="PlainTextChar"/>
    <w:rsid w:val="008E7C73"/>
    <w:rPr>
      <w:sz w:val="20"/>
    </w:rPr>
  </w:style>
  <w:style w:type="character" w:customStyle="1" w:styleId="PlainTextChar">
    <w:name w:val="Plain Text Char"/>
    <w:basedOn w:val="DefaultParagraphFont"/>
    <w:link w:val="PlainText"/>
    <w:rsid w:val="008E7C73"/>
    <w:rPr>
      <w:rFonts w:ascii="Courier New" w:eastAsia="Times New Roman" w:hAnsi="Courier New" w:cs="Times New Roman"/>
      <w:sz w:val="20"/>
      <w:szCs w:val="20"/>
      <w:lang w:eastAsia="en-US"/>
    </w:rPr>
  </w:style>
  <w:style w:type="character" w:customStyle="1" w:styleId="MenuOption">
    <w:name w:val="Menu Option"/>
    <w:basedOn w:val="DefaultParagraphFont"/>
    <w:rsid w:val="008E7C73"/>
    <w:rPr>
      <w:b/>
      <w:smallCaps/>
    </w:rPr>
  </w:style>
  <w:style w:type="paragraph" w:customStyle="1" w:styleId="TableListNumber">
    <w:name w:val="Table List Number"/>
    <w:basedOn w:val="ListNumber"/>
    <w:rsid w:val="008E7C73"/>
    <w:pPr>
      <w:numPr>
        <w:numId w:val="0"/>
      </w:numPr>
    </w:pPr>
  </w:style>
  <w:style w:type="paragraph" w:styleId="TOC4">
    <w:name w:val="toc 4"/>
    <w:basedOn w:val="TOCBase"/>
    <w:next w:val="Normal"/>
    <w:semiHidden/>
    <w:rsid w:val="008E7C73"/>
    <w:pPr>
      <w:tabs>
        <w:tab w:val="right" w:leader="dot" w:pos="9071"/>
      </w:tabs>
      <w:ind w:left="1701"/>
    </w:pPr>
  </w:style>
  <w:style w:type="paragraph" w:customStyle="1" w:styleId="ListAlpha">
    <w:name w:val="List Alpha"/>
    <w:basedOn w:val="List"/>
    <w:rsid w:val="008E7C73"/>
    <w:pPr>
      <w:numPr>
        <w:numId w:val="8"/>
      </w:numPr>
    </w:pPr>
  </w:style>
  <w:style w:type="paragraph" w:customStyle="1" w:styleId="ListAlpha2">
    <w:name w:val="List Alpha 2"/>
    <w:basedOn w:val="List2"/>
    <w:rsid w:val="008E7C73"/>
    <w:pPr>
      <w:numPr>
        <w:numId w:val="7"/>
      </w:numPr>
    </w:pPr>
  </w:style>
  <w:style w:type="paragraph" w:styleId="List2">
    <w:name w:val="List 2"/>
    <w:basedOn w:val="BodyText"/>
    <w:rsid w:val="008E7C73"/>
    <w:pPr>
      <w:tabs>
        <w:tab w:val="left" w:pos="680"/>
      </w:tabs>
      <w:spacing w:before="60" w:after="60"/>
      <w:ind w:left="680" w:hanging="340"/>
    </w:pPr>
  </w:style>
  <w:style w:type="paragraph" w:styleId="List3">
    <w:name w:val="List 3"/>
    <w:basedOn w:val="BodyText"/>
    <w:rsid w:val="008E7C73"/>
    <w:pPr>
      <w:tabs>
        <w:tab w:val="left" w:pos="1021"/>
      </w:tabs>
      <w:spacing w:before="60" w:after="60"/>
      <w:ind w:left="1020" w:hanging="340"/>
    </w:pPr>
  </w:style>
  <w:style w:type="paragraph" w:styleId="List4">
    <w:name w:val="List 4"/>
    <w:basedOn w:val="BodyText"/>
    <w:rsid w:val="008E7C73"/>
    <w:pPr>
      <w:tabs>
        <w:tab w:val="left" w:pos="1361"/>
      </w:tabs>
      <w:spacing w:before="60" w:after="60"/>
      <w:ind w:left="1361" w:hanging="340"/>
    </w:pPr>
  </w:style>
  <w:style w:type="paragraph" w:styleId="List5">
    <w:name w:val="List 5"/>
    <w:basedOn w:val="BodyText"/>
    <w:rsid w:val="008E7C73"/>
    <w:pPr>
      <w:tabs>
        <w:tab w:val="left" w:pos="1701"/>
      </w:tabs>
      <w:spacing w:before="60" w:after="60"/>
      <w:ind w:left="1701" w:hanging="340"/>
    </w:pPr>
  </w:style>
  <w:style w:type="paragraph" w:styleId="ListBullet3">
    <w:name w:val="List Bullet 3"/>
    <w:basedOn w:val="List3"/>
    <w:rsid w:val="008E7C73"/>
    <w:pPr>
      <w:numPr>
        <w:numId w:val="14"/>
      </w:numPr>
      <w:tabs>
        <w:tab w:val="clear" w:pos="1021"/>
      </w:tabs>
      <w:ind w:left="1037" w:hanging="357"/>
    </w:pPr>
  </w:style>
  <w:style w:type="paragraph" w:styleId="ListBullet4">
    <w:name w:val="List Bullet 4"/>
    <w:basedOn w:val="List4"/>
    <w:rsid w:val="008E7C73"/>
    <w:pPr>
      <w:numPr>
        <w:numId w:val="2"/>
      </w:numPr>
      <w:tabs>
        <w:tab w:val="clear" w:pos="1361"/>
      </w:tabs>
    </w:pPr>
  </w:style>
  <w:style w:type="paragraph" w:styleId="ListBullet5">
    <w:name w:val="List Bullet 5"/>
    <w:basedOn w:val="List5"/>
    <w:rsid w:val="008E7C73"/>
    <w:pPr>
      <w:numPr>
        <w:numId w:val="3"/>
      </w:numPr>
    </w:pPr>
  </w:style>
  <w:style w:type="paragraph" w:styleId="ListContinue2">
    <w:name w:val="List Continue 2"/>
    <w:basedOn w:val="List2"/>
    <w:rsid w:val="008E7C73"/>
    <w:pPr>
      <w:ind w:firstLine="0"/>
    </w:pPr>
  </w:style>
  <w:style w:type="paragraph" w:styleId="ListContinue3">
    <w:name w:val="List Continue 3"/>
    <w:basedOn w:val="List3"/>
    <w:rsid w:val="008E7C73"/>
    <w:pPr>
      <w:ind w:left="1021" w:firstLine="0"/>
    </w:pPr>
  </w:style>
  <w:style w:type="paragraph" w:styleId="ListContinue4">
    <w:name w:val="List Continue 4"/>
    <w:basedOn w:val="List4"/>
    <w:rsid w:val="008E7C73"/>
    <w:pPr>
      <w:ind w:firstLine="0"/>
    </w:pPr>
  </w:style>
  <w:style w:type="paragraph" w:styleId="ListContinue5">
    <w:name w:val="List Continue 5"/>
    <w:basedOn w:val="List5"/>
    <w:rsid w:val="008E7C73"/>
    <w:pPr>
      <w:ind w:firstLine="0"/>
    </w:pPr>
  </w:style>
  <w:style w:type="paragraph" w:styleId="ListNumber3">
    <w:name w:val="List Number 3"/>
    <w:basedOn w:val="List3"/>
    <w:rsid w:val="008E7C73"/>
    <w:pPr>
      <w:numPr>
        <w:numId w:val="4"/>
      </w:numPr>
    </w:pPr>
  </w:style>
  <w:style w:type="paragraph" w:styleId="ListNumber4">
    <w:name w:val="List Number 4"/>
    <w:basedOn w:val="List4"/>
    <w:rsid w:val="008E7C73"/>
    <w:pPr>
      <w:numPr>
        <w:numId w:val="5"/>
      </w:numPr>
    </w:pPr>
  </w:style>
  <w:style w:type="paragraph" w:styleId="ListNumber5">
    <w:name w:val="List Number 5"/>
    <w:basedOn w:val="List5"/>
    <w:rsid w:val="008E7C73"/>
    <w:pPr>
      <w:numPr>
        <w:numId w:val="6"/>
      </w:numPr>
    </w:pPr>
  </w:style>
  <w:style w:type="paragraph" w:styleId="BlockText">
    <w:name w:val="Block Text"/>
    <w:basedOn w:val="Normal"/>
    <w:rsid w:val="008E7C73"/>
    <w:pPr>
      <w:spacing w:after="120"/>
      <w:ind w:left="1440" w:right="1440"/>
    </w:pPr>
  </w:style>
  <w:style w:type="character" w:customStyle="1" w:styleId="Subscript">
    <w:name w:val="Subscript"/>
    <w:basedOn w:val="DefaultParagraphFont"/>
    <w:rsid w:val="008E7C73"/>
    <w:rPr>
      <w:sz w:val="16"/>
      <w:vertAlign w:val="subscript"/>
    </w:rPr>
  </w:style>
  <w:style w:type="character" w:customStyle="1" w:styleId="Superscript">
    <w:name w:val="Superscript"/>
    <w:basedOn w:val="DefaultParagraphFont"/>
    <w:rsid w:val="008E7C73"/>
    <w:rPr>
      <w:sz w:val="16"/>
      <w:vertAlign w:val="superscript"/>
    </w:rPr>
  </w:style>
  <w:style w:type="character" w:customStyle="1" w:styleId="MenuOptions">
    <w:name w:val="Menu Options"/>
    <w:basedOn w:val="DefaultParagraphFont"/>
    <w:rsid w:val="008E7C73"/>
    <w:rPr>
      <w:rFonts w:ascii="Arial Narrow" w:hAnsi="Arial Narrow"/>
      <w:smallCaps/>
    </w:rPr>
  </w:style>
  <w:style w:type="character" w:customStyle="1" w:styleId="Buttons">
    <w:name w:val="Buttons"/>
    <w:basedOn w:val="DefaultParagraphFont"/>
    <w:rsid w:val="008E7C73"/>
    <w:rPr>
      <w:b/>
    </w:rPr>
  </w:style>
  <w:style w:type="character" w:customStyle="1" w:styleId="Underlined">
    <w:name w:val="Underlined"/>
    <w:basedOn w:val="DefaultParagraphFont"/>
    <w:rsid w:val="008E7C73"/>
    <w:rPr>
      <w:u w:val="single"/>
    </w:rPr>
  </w:style>
  <w:style w:type="paragraph" w:customStyle="1" w:styleId="TableBodyTextRight">
    <w:name w:val="Table Body Text Right"/>
    <w:basedOn w:val="TableBodyText"/>
    <w:rsid w:val="008E7C73"/>
    <w:pPr>
      <w:widowControl w:val="0"/>
      <w:autoSpaceDE w:val="0"/>
      <w:autoSpaceDN w:val="0"/>
      <w:adjustRightInd w:val="0"/>
      <w:jc w:val="right"/>
    </w:pPr>
    <w:rPr>
      <w:rFonts w:cs="Arial"/>
      <w:szCs w:val="18"/>
    </w:rPr>
  </w:style>
  <w:style w:type="paragraph" w:customStyle="1" w:styleId="CopyrightText">
    <w:name w:val="Copyright Text"/>
    <w:basedOn w:val="BodyText"/>
    <w:rsid w:val="008E7C73"/>
    <w:rPr>
      <w:sz w:val="18"/>
    </w:rPr>
  </w:style>
  <w:style w:type="paragraph" w:customStyle="1" w:styleId="BodySmallRight">
    <w:name w:val="Body Small Right"/>
    <w:basedOn w:val="BodyTextRight"/>
    <w:rsid w:val="008E7C73"/>
    <w:rPr>
      <w:sz w:val="18"/>
      <w:szCs w:val="18"/>
    </w:rPr>
  </w:style>
  <w:style w:type="paragraph" w:customStyle="1" w:styleId="MarginEdition">
    <w:name w:val="Margin Edition"/>
    <w:basedOn w:val="MarginNote"/>
    <w:rsid w:val="008E7C73"/>
    <w:pPr>
      <w:spacing w:before="0" w:after="0"/>
    </w:pPr>
    <w:rPr>
      <w:rFonts w:ascii="Times New Roman" w:hAnsi="Times New Roman"/>
      <w:color w:val="999999"/>
    </w:rPr>
  </w:style>
  <w:style w:type="paragraph" w:customStyle="1" w:styleId="Spacer">
    <w:name w:val="Spacer"/>
    <w:basedOn w:val="Normal"/>
    <w:rsid w:val="008E7C73"/>
    <w:rPr>
      <w:sz w:val="2"/>
      <w:szCs w:val="2"/>
    </w:rPr>
  </w:style>
  <w:style w:type="character" w:customStyle="1" w:styleId="Small">
    <w:name w:val="Small"/>
    <w:basedOn w:val="DefaultParagraphFont"/>
    <w:rsid w:val="008E7C73"/>
    <w:rPr>
      <w:sz w:val="16"/>
    </w:rPr>
  </w:style>
  <w:style w:type="paragraph" w:customStyle="1" w:styleId="WideTable">
    <w:name w:val="Wide Table"/>
    <w:basedOn w:val="Normal"/>
    <w:rsid w:val="008E7C73"/>
    <w:pPr>
      <w:ind w:left="-1418"/>
    </w:pPr>
    <w:rPr>
      <w:sz w:val="2"/>
      <w:szCs w:val="2"/>
    </w:rPr>
  </w:style>
  <w:style w:type="character" w:styleId="PageNumber">
    <w:name w:val="page number"/>
    <w:basedOn w:val="DefaultParagraphFont"/>
    <w:rsid w:val="008E7C73"/>
  </w:style>
  <w:style w:type="paragraph" w:styleId="Quote">
    <w:name w:val="Quote"/>
    <w:basedOn w:val="Heading1"/>
    <w:link w:val="QuoteChar"/>
    <w:qFormat/>
    <w:rsid w:val="008E7C73"/>
    <w:rPr>
      <w:b w:val="0"/>
      <w:sz w:val="72"/>
      <w:szCs w:val="72"/>
      <w:lang w:val="en-NZ"/>
    </w:rPr>
  </w:style>
  <w:style w:type="character" w:customStyle="1" w:styleId="QuoteChar">
    <w:name w:val="Quote Char"/>
    <w:basedOn w:val="DefaultParagraphFont"/>
    <w:link w:val="Quote"/>
    <w:rsid w:val="008E7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C73"/>
    <w:pPr>
      <w:pageBreakBefore/>
    </w:pPr>
  </w:style>
  <w:style w:type="paragraph" w:customStyle="1" w:styleId="Border">
    <w:name w:val="Border"/>
    <w:basedOn w:val="Normal"/>
    <w:qFormat/>
    <w:rsid w:val="008E7C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C73"/>
    <w:rPr>
      <w:b/>
      <w:bCs/>
      <w:i/>
      <w:iCs/>
      <w:color w:val="auto"/>
    </w:rPr>
  </w:style>
  <w:style w:type="paragraph" w:styleId="IntenseQuote">
    <w:name w:val="Intense Quote"/>
    <w:basedOn w:val="Normal"/>
    <w:next w:val="Normal"/>
    <w:link w:val="IntenseQuoteChar"/>
    <w:uiPriority w:val="30"/>
    <w:qFormat/>
    <w:rsid w:val="008E7C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C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C73"/>
    <w:rPr>
      <w:smallCaps/>
      <w:color w:val="auto"/>
      <w:u w:val="single"/>
    </w:rPr>
  </w:style>
  <w:style w:type="character" w:styleId="IntenseReference">
    <w:name w:val="Intense Reference"/>
    <w:basedOn w:val="DefaultParagraphFont"/>
    <w:uiPriority w:val="32"/>
    <w:qFormat/>
    <w:rsid w:val="008E7C73"/>
    <w:rPr>
      <w:b/>
      <w:bCs/>
      <w:smallCaps/>
      <w:color w:val="auto"/>
      <w:spacing w:val="5"/>
      <w:u w:val="single"/>
    </w:rPr>
  </w:style>
  <w:style w:type="paragraph" w:customStyle="1" w:styleId="2ColumnHeading">
    <w:name w:val="2Column Heading"/>
    <w:basedOn w:val="BodyText"/>
    <w:qFormat/>
    <w:rsid w:val="008E7C73"/>
    <w:pPr>
      <w:spacing w:after="60"/>
      <w:ind w:left="-2268"/>
    </w:pPr>
    <w:rPr>
      <w:b/>
    </w:rPr>
  </w:style>
  <w:style w:type="paragraph" w:customStyle="1" w:styleId="Heading1TOC">
    <w:name w:val="Heading1 TOC"/>
    <w:basedOn w:val="Normal"/>
    <w:qFormat/>
    <w:rsid w:val="008E7C73"/>
    <w:pPr>
      <w:spacing w:before="240" w:after="120"/>
    </w:pPr>
    <w:rPr>
      <w:rFonts w:ascii="Times New Roman" w:hAnsi="Times New Roman"/>
      <w:b/>
      <w:sz w:val="32"/>
    </w:rPr>
  </w:style>
  <w:style w:type="paragraph" w:customStyle="1" w:styleId="Heading2TOC">
    <w:name w:val="Heading2 TOC"/>
    <w:basedOn w:val="Normal"/>
    <w:qFormat/>
    <w:rsid w:val="008E7C73"/>
    <w:pPr>
      <w:spacing w:before="240" w:after="60"/>
    </w:pPr>
    <w:rPr>
      <w:rFonts w:ascii="Times New Roman" w:hAnsi="Times New Roman"/>
      <w:b/>
      <w:sz w:val="28"/>
    </w:rPr>
  </w:style>
  <w:style w:type="character" w:customStyle="1" w:styleId="Underline">
    <w:name w:val="Underline"/>
    <w:basedOn w:val="DefaultParagraphFont"/>
    <w:qFormat/>
    <w:rsid w:val="008E7C73"/>
    <w:rPr>
      <w:u w:val="single"/>
    </w:rPr>
  </w:style>
  <w:style w:type="character" w:customStyle="1" w:styleId="BoldandItalics">
    <w:name w:val="Bold and Italics"/>
    <w:qFormat/>
    <w:rsid w:val="008E7C73"/>
    <w:rPr>
      <w:b/>
      <w:i/>
      <w:u w:val="none"/>
    </w:rPr>
  </w:style>
  <w:style w:type="paragraph" w:styleId="BalloonText">
    <w:name w:val="Balloon Text"/>
    <w:basedOn w:val="Normal"/>
    <w:link w:val="BalloonTextChar"/>
    <w:rsid w:val="008E7C73"/>
    <w:rPr>
      <w:rFonts w:ascii="Tahoma" w:hAnsi="Tahoma" w:cs="Tahoma"/>
      <w:sz w:val="16"/>
      <w:szCs w:val="16"/>
    </w:rPr>
  </w:style>
  <w:style w:type="character" w:customStyle="1" w:styleId="BalloonTextChar">
    <w:name w:val="Balloon Text Char"/>
    <w:basedOn w:val="DefaultParagraphFont"/>
    <w:link w:val="BalloonText"/>
    <w:rsid w:val="008E7C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C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7C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C73"/>
    <w:rPr>
      <w:b/>
      <w:color w:val="660033"/>
      <w:spacing w:val="0"/>
    </w:rPr>
  </w:style>
  <w:style w:type="paragraph" w:customStyle="1" w:styleId="Nameditemlist">
    <w:name w:val="Named item list"/>
    <w:basedOn w:val="BodyText"/>
    <w:qFormat/>
    <w:rsid w:val="008E7C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1493</Words>
  <Characters>9503</Characters>
  <Application>Microsoft Office Word</Application>
  <DocSecurity>0</DocSecurity>
  <Lines>404</Lines>
  <Paragraphs>172</Paragraphs>
  <ScaleCrop>false</ScaleCrop>
  <Company>Author-it Software Corporation Ltd.</Company>
  <LinksUpToDate>false</LinksUpToDate>
  <CharactersWithSpaces>10850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MSL975003 Perform histological tests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2016-03-01T06:22:00Z</dcterms:created>
  <dcterms:modified xsi:type="dcterms:W3CDTF">2016-03-01T06:22:00Z</dcterms:modified>
</cp:coreProperties>
</file>