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37D" w:rsidP="008A73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MSL975002 Perform haematological tests</w:t>
      </w:r>
      <w:r>
        <w:fldChar w:fldCharType="end"/>
      </w:r>
    </w:p>
    <w:p w:rsidR="008A737D" w:rsidP="008A737D">
      <w:pPr>
        <w:pStyle w:val="Version"/>
        <w:sectPr w:rsidSect="00AD0D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0D6A" w:rsidP="00AD0D6A">
      <w:pPr>
        <w:pStyle w:val="SuperHeading"/>
      </w:pPr>
      <w:r w:rsidRPr="00AD0D6A">
        <w:t>Assessment Requirements for MSL975002 Perform haematological tests</w:t>
      </w:r>
    </w:p>
    <w:p w:rsidR="00000000" w:rsidRPr="00AD0D6A" w:rsidP="00AD0D6A">
      <w:pPr>
        <w:pStyle w:val="Heading1"/>
      </w:pPr>
      <w:bookmarkStart w:id="1" w:name="O_901384"/>
      <w:bookmarkEnd w:id="1"/>
      <w:r w:rsidRPr="00AD0D6A">
        <w:t>Modification History</w:t>
      </w:r>
    </w:p>
    <w:p w:rsidR="00000000" w:rsidRPr="00AD0D6A" w:rsidP="00AD0D6A">
      <w:pPr>
        <w:pStyle w:val="BodyText"/>
      </w:pPr>
      <w:r w:rsidRPr="00AD0D6A">
        <w:t>Release 1. Supersedes and is equivalent to MSL975002A Perform haematological tests</w:t>
      </w:r>
    </w:p>
    <w:p w:rsidR="00000000" w:rsidRPr="00AD0D6A" w:rsidP="00AD0D6A">
      <w:pPr>
        <w:pStyle w:val="AllowPageBreak"/>
      </w:pPr>
    </w:p>
    <w:p w:rsidR="00000000" w:rsidRPr="00AD0D6A" w:rsidP="00AD0D6A">
      <w:pPr>
        <w:pStyle w:val="Heading1"/>
      </w:pPr>
      <w:bookmarkStart w:id="2" w:name="O_901387"/>
      <w:bookmarkEnd w:id="2"/>
      <w:r w:rsidRPr="00AD0D6A">
        <w:t>Performance Evidence</w:t>
      </w:r>
    </w:p>
    <w:p w:rsidR="00000000" w:rsidRPr="00AD0D6A" w:rsidP="00AD0D6A">
      <w:pPr>
        <w:pStyle w:val="BodyText"/>
      </w:pPr>
      <w:r w:rsidRPr="00AD0D6A">
        <w:t>Evidence of competence in this unit must satisfy all of the requirements of the elements and performance criteria, and include demonstration of:</w:t>
      </w:r>
    </w:p>
    <w:p w:rsidR="00000000" w:rsidRPr="00AD0D6A" w:rsidP="00AD0D6A">
      <w:pPr>
        <w:pStyle w:val="ListBullet"/>
      </w:pPr>
      <w:r w:rsidRPr="00AD0D6A">
        <w:t>safely performing at least five (5) haematological tests or procedures to determine levels, function, activity</w:t>
      </w:r>
      <w:r w:rsidRPr="00AD0D6A">
        <w:t xml:space="preserve"> and interactions of cellular and plasma components of blood</w:t>
      </w:r>
    </w:p>
    <w:p w:rsidR="00000000" w:rsidRPr="00AD0D6A" w:rsidP="00AD0D6A">
      <w:pPr>
        <w:pStyle w:val="ListBullet"/>
      </w:pPr>
      <w:r w:rsidRPr="00AD0D6A">
        <w:t>accurately counting and measuring blood cells</w:t>
      </w:r>
    </w:p>
    <w:p w:rsidR="00000000" w:rsidRPr="00AD0D6A" w:rsidP="00AD0D6A">
      <w:pPr>
        <w:pStyle w:val="ListBullet"/>
      </w:pPr>
      <w:r w:rsidRPr="00AD0D6A">
        <w:t>deriving cell data to assist with classification of cell populations</w:t>
      </w:r>
    </w:p>
    <w:p w:rsidR="00000000" w:rsidRPr="00AD0D6A" w:rsidP="00AD0D6A">
      <w:pPr>
        <w:pStyle w:val="ListBullet"/>
      </w:pPr>
      <w:r w:rsidRPr="00AD0D6A">
        <w:t>staining cells, identifying their morphology and classifying them</w:t>
      </w:r>
    </w:p>
    <w:p w:rsidR="00000000" w:rsidRPr="00AD0D6A" w:rsidP="00AD0D6A">
      <w:pPr>
        <w:pStyle w:val="ListBullet"/>
      </w:pPr>
      <w:r w:rsidRPr="00AD0D6A">
        <w:t>determining th</w:t>
      </w:r>
      <w:r w:rsidRPr="00AD0D6A">
        <w:t xml:space="preserve">e amount and function of blood components, such as haemoglobin </w:t>
      </w:r>
    </w:p>
    <w:p w:rsidR="00000000" w:rsidRPr="00AD0D6A" w:rsidP="00AD0D6A">
      <w:pPr>
        <w:pStyle w:val="ListBullet"/>
      </w:pPr>
      <w:r w:rsidRPr="00AD0D6A">
        <w:t>measuring clinically phenomena, such as the erythrocyte sedimentation rate or detecting markers of immune response</w:t>
      </w:r>
    </w:p>
    <w:p w:rsidR="00000000" w:rsidRPr="00AD0D6A" w:rsidP="00AD0D6A">
      <w:pPr>
        <w:pStyle w:val="ListBullet"/>
      </w:pPr>
      <w:r w:rsidRPr="00AD0D6A">
        <w:t xml:space="preserve">assessing haemostasis by performing coagulation, fibrinolysis and thrombosis </w:t>
      </w:r>
      <w:r w:rsidRPr="00AD0D6A">
        <w:t>tests</w:t>
      </w:r>
    </w:p>
    <w:p w:rsidR="00000000" w:rsidRPr="00AD0D6A" w:rsidP="00AD0D6A">
      <w:pPr>
        <w:pStyle w:val="ListBullet"/>
      </w:pPr>
      <w:r w:rsidRPr="00AD0D6A">
        <w:t>preparing documentation that is accurate, concise and in accordance with workplace requirements</w:t>
      </w:r>
    </w:p>
    <w:p w:rsidR="00000000" w:rsidRPr="00AD0D6A" w:rsidP="00AD0D6A">
      <w:pPr>
        <w:pStyle w:val="ListBullet"/>
      </w:pPr>
      <w:r w:rsidRPr="00AD0D6A">
        <w:t>managing and organising work to ensure the timely completion of tasks</w:t>
      </w:r>
    </w:p>
    <w:p w:rsidR="00000000" w:rsidRPr="00AD0D6A" w:rsidP="00AD0D6A">
      <w:pPr>
        <w:pStyle w:val="ListBullet"/>
      </w:pPr>
      <w:r w:rsidRPr="00AD0D6A">
        <w:t>critically analysing information and documents and recognising problems in systems a</w:t>
      </w:r>
      <w:r w:rsidRPr="00AD0D6A">
        <w:t>nd documentation</w:t>
      </w:r>
    </w:p>
    <w:p w:rsidR="00000000" w:rsidRPr="00AD0D6A" w:rsidP="00AD0D6A">
      <w:pPr>
        <w:pStyle w:val="ListBullet"/>
      </w:pPr>
      <w:r w:rsidRPr="00AD0D6A">
        <w:t>using workplace information systems efficiently</w:t>
      </w:r>
    </w:p>
    <w:p w:rsidR="00000000" w:rsidRPr="00AD0D6A" w:rsidP="00AD0D6A">
      <w:pPr>
        <w:pStyle w:val="ListBullet"/>
      </w:pPr>
      <w:r w:rsidRPr="00AD0D6A">
        <w:t>using samples, reagents and materials economically and disposing of wastes safely</w:t>
      </w:r>
    </w:p>
    <w:p w:rsidR="00000000" w:rsidRPr="00AD0D6A" w:rsidP="00AD0D6A">
      <w:pPr>
        <w:pStyle w:val="ListBullet"/>
      </w:pPr>
      <w:r w:rsidRPr="00AD0D6A">
        <w:t>maintaining security and confidentiality of all clinical information, laboratory data and records</w:t>
      </w:r>
    </w:p>
    <w:p w:rsidR="00000000" w:rsidRPr="00AD0D6A" w:rsidP="00AD0D6A">
      <w:pPr>
        <w:pStyle w:val="ListBullet"/>
      </w:pPr>
      <w:r w:rsidRPr="00AD0D6A">
        <w:t>maintaining</w:t>
      </w:r>
      <w:r w:rsidRPr="00AD0D6A">
        <w:t xml:space="preserve"> equipment and recording and reporting malfunctions in accordance with workplace requirements.</w:t>
      </w:r>
    </w:p>
    <w:p w:rsidR="00000000" w:rsidRPr="00AD0D6A" w:rsidP="00AD0D6A">
      <w:pPr>
        <w:pStyle w:val="AllowPageBreak"/>
      </w:pPr>
    </w:p>
    <w:p w:rsidR="00000000" w:rsidRPr="00AD0D6A" w:rsidP="00AD0D6A">
      <w:pPr>
        <w:pStyle w:val="Heading1"/>
      </w:pPr>
      <w:bookmarkStart w:id="3" w:name="O_901386"/>
      <w:bookmarkEnd w:id="3"/>
      <w:r w:rsidRPr="00AD0D6A">
        <w:t>Knowledge Evidence</w:t>
      </w:r>
    </w:p>
    <w:p w:rsidR="00000000" w:rsidRPr="00AD0D6A" w:rsidP="00AD0D6A">
      <w:pPr>
        <w:pStyle w:val="BodyText"/>
      </w:pPr>
      <w:r w:rsidRPr="00AD0D6A">
        <w:t>Must provide evidence that demonstrates knowledge of:</w:t>
      </w:r>
    </w:p>
    <w:p w:rsidR="00000000" w:rsidRPr="00AD0D6A" w:rsidP="00AD0D6A">
      <w:pPr>
        <w:pStyle w:val="ListBullet"/>
      </w:pPr>
      <w:r w:rsidRPr="00AD0D6A">
        <w:t>scientific, medical, clinical, technical and workplace terminology relevant to normal and abnormal haematology, including anatomy, physiology, genetics, biochemistry and immunology</w:t>
      </w:r>
    </w:p>
    <w:p w:rsidR="00000000" w:rsidRPr="00AD0D6A" w:rsidP="00AD0D6A">
      <w:pPr>
        <w:pStyle w:val="ListBullet"/>
      </w:pPr>
      <w:r w:rsidRPr="00AD0D6A">
        <w:t>the investigation of blood cell disorders, including anaemia, leucocytosis,</w:t>
      </w:r>
      <w:r w:rsidRPr="00AD0D6A">
        <w:t xml:space="preserve"> leucocytopaenias, leukaemia and thrombocytopenia</w:t>
      </w:r>
    </w:p>
    <w:p w:rsidR="00000000" w:rsidRPr="00AD0D6A" w:rsidP="00AD0D6A">
      <w:pPr>
        <w:pStyle w:val="ListBullet"/>
      </w:pPr>
      <w:r w:rsidRPr="00AD0D6A">
        <w:t>heritable and acquired coagulopathies and therapeutic drug-related alterations in haemostatic and coagulation mechanisms</w:t>
      </w:r>
    </w:p>
    <w:p w:rsidR="00000000" w:rsidRPr="00AD0D6A" w:rsidP="00AD0D6A">
      <w:pPr>
        <w:pStyle w:val="ListBullet"/>
      </w:pPr>
      <w:r w:rsidRPr="00AD0D6A">
        <w:t>haematological responses to infection, immunisation and malignancy</w:t>
      </w:r>
    </w:p>
    <w:p w:rsidR="00000000" w:rsidRPr="00AD0D6A" w:rsidP="00AD0D6A">
      <w:pPr>
        <w:pStyle w:val="ListBullet"/>
      </w:pPr>
      <w:r w:rsidRPr="00AD0D6A">
        <w:t>necessity for a pa</w:t>
      </w:r>
      <w:r w:rsidRPr="00AD0D6A">
        <w:t>tient or client focus when performing laboratory procedures and tests, including issues of confidentiality and security of clinical and laboratory information and data</w:t>
      </w:r>
    </w:p>
    <w:p w:rsidR="00000000" w:rsidRPr="00AD0D6A" w:rsidP="00AD0D6A">
      <w:pPr>
        <w:pStyle w:val="ListBullet"/>
      </w:pPr>
      <w:r w:rsidRPr="00AD0D6A">
        <w:t xml:space="preserve">relationships that exist between the sample and the test result, including: </w:t>
      </w:r>
    </w:p>
    <w:p w:rsidR="00000000" w:rsidRPr="00AD0D6A" w:rsidP="00AD0D6A">
      <w:pPr>
        <w:pStyle w:val="ListBullet2"/>
      </w:pPr>
      <w:r w:rsidRPr="00AD0D6A">
        <w:t>sample col</w:t>
      </w:r>
      <w:r w:rsidRPr="00AD0D6A">
        <w:t>lection</w:t>
      </w:r>
    </w:p>
    <w:p w:rsidR="00000000" w:rsidRPr="00AD0D6A" w:rsidP="00AD0D6A">
      <w:pPr>
        <w:pStyle w:val="ListBullet2"/>
      </w:pPr>
      <w:r w:rsidRPr="00AD0D6A">
        <w:t>the preservation and timely testing of samples</w:t>
      </w:r>
    </w:p>
    <w:p w:rsidR="00000000" w:rsidRPr="00AD0D6A" w:rsidP="00AD0D6A">
      <w:pPr>
        <w:pStyle w:val="ListBullet2"/>
      </w:pPr>
      <w:r w:rsidRPr="00AD0D6A">
        <w:t>sample storage requirements and issues of artefact</w:t>
      </w:r>
    </w:p>
    <w:p w:rsidR="00000000" w:rsidRPr="00AD0D6A" w:rsidP="00AD0D6A">
      <w:pPr>
        <w:pStyle w:val="ListBullet2"/>
      </w:pPr>
      <w:r w:rsidRPr="00AD0D6A">
        <w:t>sub-sampling routines, including the nature of unstable particulate suspensions</w:t>
      </w:r>
    </w:p>
    <w:p w:rsidR="00000000" w:rsidRPr="00AD0D6A" w:rsidP="00AD0D6A">
      <w:pPr>
        <w:pStyle w:val="ListBullet2"/>
      </w:pPr>
      <w:r w:rsidRPr="00AD0D6A">
        <w:t>validated tests</w:t>
      </w:r>
    </w:p>
    <w:p w:rsidR="00000000" w:rsidRPr="00AD0D6A" w:rsidP="00AD0D6A">
      <w:pPr>
        <w:pStyle w:val="ListBullet2"/>
      </w:pPr>
      <w:r w:rsidRPr="00AD0D6A">
        <w:t>quality control</w:t>
      </w:r>
    </w:p>
    <w:p w:rsidR="00000000" w:rsidRPr="00AD0D6A" w:rsidP="00AD0D6A">
      <w:pPr>
        <w:pStyle w:val="ListBullet2"/>
      </w:pPr>
      <w:r w:rsidRPr="00AD0D6A">
        <w:t>quality assurance</w:t>
      </w:r>
    </w:p>
    <w:p w:rsidR="00000000" w:rsidRPr="00AD0D6A" w:rsidP="00AD0D6A">
      <w:pPr>
        <w:pStyle w:val="ListBullet"/>
      </w:pPr>
      <w:r w:rsidRPr="00AD0D6A">
        <w:t>use and maintenance of laboratory equipment and resources that contribute to accurate, precise, timely and economical generation of data for use by clinicians</w:t>
      </w:r>
    </w:p>
    <w:p w:rsidR="00000000" w:rsidRPr="00AD0D6A" w:rsidP="00AD0D6A">
      <w:pPr>
        <w:pStyle w:val="ListBullet"/>
      </w:pPr>
      <w:r w:rsidRPr="00AD0D6A">
        <w:t>relevant hazards, work health and safety (WHS) and environment requirements.</w:t>
      </w:r>
    </w:p>
    <w:p w:rsidR="00000000" w:rsidRPr="00AD0D6A" w:rsidP="00AD0D6A">
      <w:pPr>
        <w:pStyle w:val="AllowPageBreak"/>
      </w:pPr>
    </w:p>
    <w:p w:rsidR="00000000" w:rsidRPr="00AD0D6A" w:rsidP="00AD0D6A">
      <w:pPr>
        <w:pStyle w:val="Heading1"/>
      </w:pPr>
      <w:bookmarkStart w:id="4" w:name="O_901385"/>
      <w:bookmarkEnd w:id="4"/>
      <w:r w:rsidRPr="00AD0D6A">
        <w:t>Ass</w:t>
      </w:r>
      <w:r w:rsidRPr="00AD0D6A">
        <w:t>essment Conditions</w:t>
      </w:r>
    </w:p>
    <w:p w:rsidR="00000000" w:rsidRPr="00AD0D6A" w:rsidP="00AD0D6A">
      <w:pPr>
        <w:pStyle w:val="ListBullet"/>
      </w:pPr>
      <w:r w:rsidRPr="00AD0D6A">
        <w:t xml:space="preserve">Judgment of competence must be based on holistic assessment of the evidence. Assessment methods must confirm consistency of performance over time, rather than a single assessment event. </w:t>
      </w:r>
    </w:p>
    <w:p w:rsidR="00000000" w:rsidRPr="00AD0D6A" w:rsidP="00AD0D6A">
      <w:pPr>
        <w:pStyle w:val="ListBullet"/>
      </w:pPr>
      <w:r w:rsidRPr="00AD0D6A">
        <w:t xml:space="preserve">This unit of competency is to be assessed in the </w:t>
      </w:r>
      <w:r w:rsidRPr="00AD0D6A">
        <w:t>workplace or a simulated workplace environment. A simulated workplace environment must reflect realistic operational workplace conditions that cover all aspects of workplace performance, including the environment, task skills, task management skills, conti</w:t>
      </w:r>
      <w:r w:rsidRPr="00AD0D6A">
        <w:t xml:space="preserve">ngency management skills and job role environment skills.  </w:t>
      </w:r>
    </w:p>
    <w:p w:rsidR="00000000" w:rsidRPr="00AD0D6A" w:rsidP="00AD0D6A">
      <w:pPr>
        <w:pStyle w:val="ListBullet"/>
      </w:pPr>
      <w:r w:rsidRPr="00AD0D6A">
        <w:t xml:space="preserve">Foundation skills are integral to competent performance of the unit and should not be assessed separately. </w:t>
      </w:r>
    </w:p>
    <w:p w:rsidR="00000000" w:rsidRPr="00AD0D6A" w:rsidP="00AD0D6A">
      <w:pPr>
        <w:pStyle w:val="ListBullet"/>
      </w:pPr>
      <w:r w:rsidRPr="00AD0D6A">
        <w:t>Assessment processes and techniques must be appropriate to the language, literacy and nu</w:t>
      </w:r>
      <w:r w:rsidRPr="00AD0D6A">
        <w:t>meracy requirements of the work being performed and the needs of the candidate.</w:t>
      </w:r>
    </w:p>
    <w:p w:rsidR="00000000" w:rsidRPr="00AD0D6A" w:rsidP="00AD0D6A">
      <w:pPr>
        <w:pStyle w:val="ListBullet"/>
      </w:pPr>
      <w:r w:rsidRPr="00AD0D6A">
        <w:t>Knowledge evidence may be collected concurrently with performance evidence or through an independent process, such as workbooks, written assessments or interviews (provided a r</w:t>
      </w:r>
      <w:r w:rsidRPr="00AD0D6A">
        <w:t>ecord is kept in each case).</w:t>
      </w:r>
    </w:p>
    <w:p w:rsidR="00000000" w:rsidRPr="00AD0D6A" w:rsidP="00AD0D6A">
      <w:pPr>
        <w:pStyle w:val="ListBullet"/>
      </w:pPr>
      <w:r w:rsidRPr="00AD0D6A">
        <w:t xml:space="preserve">This unit of competency may be assessed with: </w:t>
      </w:r>
    </w:p>
    <w:p w:rsidR="00000000" w:rsidRPr="00AD0D6A" w:rsidP="00AD0D6A">
      <w:pPr>
        <w:pStyle w:val="ListBullet2"/>
      </w:pPr>
      <w:r w:rsidRPr="00AD0D6A">
        <w:t>MSL925001 Analyse data and report results</w:t>
      </w:r>
    </w:p>
    <w:p w:rsidR="00000000" w:rsidRPr="00AD0D6A" w:rsidP="00AD0D6A">
      <w:pPr>
        <w:pStyle w:val="ListBullet2"/>
      </w:pPr>
      <w:r w:rsidRPr="00AD0D6A">
        <w:t>MSL934002 Apply quality system and continuous improvement processes</w:t>
      </w:r>
    </w:p>
    <w:p w:rsidR="00000000" w:rsidRPr="00AD0D6A" w:rsidP="00AD0D6A">
      <w:pPr>
        <w:pStyle w:val="ListBullet"/>
      </w:pPr>
      <w:r w:rsidRPr="00AD0D6A">
        <w:t xml:space="preserve">Holistic assessment methods include: </w:t>
      </w:r>
    </w:p>
    <w:p w:rsidR="00000000" w:rsidRPr="00AD0D6A" w:rsidP="00AD0D6A">
      <w:pPr>
        <w:pStyle w:val="ListBullet2"/>
      </w:pPr>
      <w:r w:rsidRPr="00AD0D6A">
        <w:t>review of results/data/records generated by the candidate</w:t>
      </w:r>
    </w:p>
    <w:p w:rsidR="00000000" w:rsidRPr="00AD0D6A" w:rsidP="00AD0D6A">
      <w:pPr>
        <w:pStyle w:val="ListBullet2"/>
      </w:pPr>
      <w:r w:rsidRPr="00AD0D6A">
        <w:t>feedback from peers and supervisors that the candidate follows workplace procedures consistently and that tasks are performed in accordance with workplace requirements</w:t>
      </w:r>
    </w:p>
    <w:p w:rsidR="00000000" w:rsidRPr="00AD0D6A" w:rsidP="00AD0D6A">
      <w:pPr>
        <w:pStyle w:val="ListBullet2"/>
      </w:pPr>
      <w:r w:rsidRPr="00AD0D6A">
        <w:t xml:space="preserve">oral and/or written tests and </w:t>
      </w:r>
      <w:r w:rsidRPr="00AD0D6A">
        <w:t>paper problems associated with haematological test methods and laboratory processes, such as equipment calibration and maintenance</w:t>
      </w:r>
    </w:p>
    <w:p w:rsidR="00000000" w:rsidRPr="00AD0D6A" w:rsidP="00AD0D6A">
      <w:pPr>
        <w:pStyle w:val="ListBullet2"/>
      </w:pPr>
      <w:r w:rsidRPr="00AD0D6A">
        <w:t>observation of the candidate performing haematological tests</w:t>
      </w:r>
    </w:p>
    <w:p w:rsidR="00000000" w:rsidRPr="00AD0D6A" w:rsidP="00AD0D6A">
      <w:pPr>
        <w:pStyle w:val="ListBullet2"/>
      </w:pPr>
      <w:r w:rsidRPr="00AD0D6A">
        <w:t xml:space="preserve">integrated assessment with a case study focus, such as: </w:t>
      </w:r>
    </w:p>
    <w:p w:rsidR="00000000" w:rsidRPr="00AD0D6A" w:rsidP="00AD0D6A">
      <w:pPr>
        <w:pStyle w:val="ListBullet3"/>
      </w:pPr>
      <w:r w:rsidRPr="00AD0D6A">
        <w:t>perfor</w:t>
      </w:r>
      <w:r w:rsidRPr="00AD0D6A">
        <w:t>mance of the routine full blood count, including the examination of the stained blood film</w:t>
      </w:r>
    </w:p>
    <w:p w:rsidR="00000000" w:rsidRPr="00AD0D6A" w:rsidP="00AD0D6A">
      <w:pPr>
        <w:pStyle w:val="ListBullet3"/>
      </w:pPr>
      <w:r w:rsidRPr="00AD0D6A">
        <w:t>a coagulation screen, including tests to measure anti-vitamin K and anti-heparin therapeutic agents, and the counting of platelets</w:t>
      </w:r>
    </w:p>
    <w:p w:rsidR="00000000" w:rsidRPr="00AD0D6A" w:rsidP="00AD0D6A">
      <w:pPr>
        <w:pStyle w:val="ListBullet3"/>
      </w:pPr>
      <w:r w:rsidRPr="00AD0D6A">
        <w:t>studies that can assist in identifying relationships between quantitative data from blood counts and morphological findings from stained blood films.</w:t>
      </w:r>
    </w:p>
    <w:p w:rsidR="00000000" w:rsidRPr="00AD0D6A" w:rsidP="00AD0D6A">
      <w:pPr>
        <w:pStyle w:val="ListBullet"/>
      </w:pPr>
      <w:r w:rsidRPr="00AD0D6A">
        <w:t>Access is required to instruments, equipment, materials, workplace documentation, procedures and specific</w:t>
      </w:r>
      <w:r w:rsidRPr="00AD0D6A">
        <w:t>ations associated with this unit, including, but not limited to:</w:t>
      </w:r>
    </w:p>
    <w:p w:rsidR="00000000" w:rsidRPr="00AD0D6A" w:rsidP="00AD0D6A">
      <w:pPr>
        <w:pStyle w:val="ListBullet2"/>
      </w:pPr>
      <w:r w:rsidRPr="00AD0D6A">
        <w:t>a standard haematology laboratory with relevant equipment, samples and reagents, laboratory information system, databases and record/filing system</w:t>
      </w:r>
    </w:p>
    <w:p w:rsidR="00000000" w:rsidRPr="00AD0D6A" w:rsidP="00AD0D6A">
      <w:pPr>
        <w:pStyle w:val="ListBullet2"/>
      </w:pPr>
      <w:r w:rsidRPr="00AD0D6A">
        <w:t>instruments for the semi-automated or autom</w:t>
      </w:r>
      <w:r w:rsidRPr="00AD0D6A">
        <w:t>ated electronic counting and partial characterisation of blood cells, the measurement of haemoglobin and the computation of red cell indices</w:t>
      </w:r>
    </w:p>
    <w:p w:rsidR="00000000" w:rsidRPr="00AD0D6A" w:rsidP="00AD0D6A">
      <w:pPr>
        <w:pStyle w:val="ListBullet2"/>
      </w:pPr>
      <w:r w:rsidRPr="00AD0D6A">
        <w:t>workplace procedures, test methods and equipment manuals.</w:t>
      </w:r>
    </w:p>
    <w:p w:rsidR="00000000" w:rsidRPr="00AD0D6A" w:rsidP="00AD0D6A">
      <w:pPr>
        <w:pStyle w:val="ListBullet"/>
      </w:pPr>
      <w:r w:rsidRPr="00AD0D6A">
        <w:t>Under duty of care requirements, off-the-job training providers should ensure that blood samples are known to be antibody free for hepatitis B and C, syphilis and human immunodeficiency virus (HIV). However, this does not reduce the need for universal prec</w:t>
      </w:r>
      <w:r w:rsidRPr="00AD0D6A">
        <w:t>autions in the use of samples.</w:t>
      </w:r>
    </w:p>
    <w:p w:rsidR="00000000" w:rsidRPr="00AD0D6A" w:rsidP="00AD0D6A">
      <w:pPr>
        <w:pStyle w:val="ListBullet"/>
      </w:pPr>
      <w:r w:rsidRPr="00AD0D6A">
        <w:t xml:space="preserve">Assessors must satisfy the assessor competency requirements that are in place at the time of the assessment as set by the VET regulator.  </w:t>
      </w:r>
    </w:p>
    <w:p w:rsidR="00000000" w:rsidRPr="00AD0D6A" w:rsidP="00AD0D6A">
      <w:pPr>
        <w:pStyle w:val="ListBullet"/>
      </w:pPr>
      <w:r w:rsidRPr="00AD0D6A">
        <w:t>The assessor must demonstrate both technical competence and currency.</w:t>
      </w:r>
    </w:p>
    <w:p w:rsidR="00000000" w:rsidRPr="00AD0D6A" w:rsidP="00AD0D6A">
      <w:pPr>
        <w:pStyle w:val="ListBullet"/>
      </w:pPr>
      <w:r w:rsidRPr="00AD0D6A">
        <w:t>Technical compet</w:t>
      </w:r>
      <w:r w:rsidRPr="00AD0D6A">
        <w:t>ence can be demonstrated through:</w:t>
      </w:r>
    </w:p>
    <w:p w:rsidR="00000000" w:rsidRPr="00AD0D6A" w:rsidP="00AD0D6A">
      <w:pPr>
        <w:pStyle w:val="ListBullet2"/>
      </w:pPr>
      <w:r w:rsidRPr="00AD0D6A">
        <w:t>relevant VET or other qualification/Statement of Attainment AND/OR</w:t>
      </w:r>
    </w:p>
    <w:p w:rsidR="00000000" w:rsidRPr="00AD0D6A" w:rsidP="00AD0D6A">
      <w:pPr>
        <w:pStyle w:val="ListBullet2"/>
      </w:pPr>
      <w:r w:rsidRPr="00AD0D6A">
        <w:t>relevant workplace experience.</w:t>
      </w:r>
    </w:p>
    <w:p w:rsidR="00000000" w:rsidRPr="00AD0D6A" w:rsidP="00AD0D6A">
      <w:pPr>
        <w:pStyle w:val="ListBullet"/>
      </w:pPr>
      <w:r w:rsidRPr="00AD0D6A">
        <w:t>Currency can be demonstrated through:</w:t>
      </w:r>
    </w:p>
    <w:p w:rsidR="00000000" w:rsidRPr="00AD0D6A" w:rsidP="00AD0D6A">
      <w:pPr>
        <w:pStyle w:val="ListBullet2"/>
      </w:pPr>
      <w:r w:rsidRPr="00AD0D6A">
        <w:t>performing the competency being assessed as part of current employment OR</w:t>
      </w:r>
    </w:p>
    <w:p w:rsidR="008A737D" w:rsidP="00AD0D6A">
      <w:pPr>
        <w:pStyle w:val="ListBullet2"/>
      </w:pPr>
      <w:r w:rsidRPr="00AD0D6A">
        <w:t>having co</w:t>
      </w:r>
      <w:r w:rsidRPr="00AD0D6A">
        <w:t>nsulted with a laboratory about performing the competency being assessed within the last twelve months.</w:t>
      </w:r>
    </w:p>
    <w:p w:rsidR="008A737D" w:rsidP="00AD0D6A">
      <w:pPr>
        <w:pStyle w:val="ListBullet2"/>
      </w:pPr>
    </w:p>
    <w:p w:rsidR="00000000" w:rsidRPr="00AD0D6A" w:rsidP="00AD0D6A">
      <w:pPr>
        <w:pStyle w:val="Heading1"/>
      </w:pPr>
      <w:bookmarkStart w:id="5" w:name="O_901383"/>
      <w:bookmarkEnd w:id="5"/>
      <w:r w:rsidRPr="00AD0D6A">
        <w:t>Links</w:t>
      </w:r>
    </w:p>
    <w:p w:rsidR="00000000" w:rsidRPr="00AD0D6A" w:rsidP="00AD0D6A">
      <w:pPr>
        <w:pStyle w:val="BodyText"/>
      </w:pPr>
      <w:r w:rsidRPr="00AD0D6A">
        <w:t>MSA Training Package Implementation Guides - http://mskills.org.au/training-packages/info/</w:t>
      </w:r>
    </w:p>
    <w:p w:rsidR="00000000" w:rsidRPr="00AD0D6A" w:rsidP="00AD0D6A"/>
    <w:sectPr w:rsidSect="00AD0D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6A" w:rsidRPr="008A737D" w:rsidP="008A73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37D" w:rsidP="00AD0D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737D" w:rsidP="00AD0D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A737D" w:rsidP="00AD0D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6A" w:rsidRPr="008A737D" w:rsidP="008A737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37D" w:rsidRPr="002D2AF8" w:rsidP="00AD0D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MSL975002 Perform haematological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8A737D" w:rsidP="00AD0D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D60F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8AD0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BE30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D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0D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0D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0D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0D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0D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0D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0D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0D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0D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0D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0D6A"/>
  </w:style>
  <w:style w:type="character" w:customStyle="1" w:styleId="Heading1Char">
    <w:name w:val="Heading 1 Char"/>
    <w:basedOn w:val="DefaultParagraphFont"/>
    <w:link w:val="Heading1"/>
    <w:rsid w:val="00AD0D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0D6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0D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0D6A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0D6A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0D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0D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D0D6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D0D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0D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0D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0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0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0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0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0D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0D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0D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0D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0D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0D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0D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0D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0D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0D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0D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0D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0D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0D6A"/>
    <w:rPr>
      <w:b/>
      <w:spacing w:val="0"/>
    </w:rPr>
  </w:style>
  <w:style w:type="paragraph" w:customStyle="1" w:styleId="SuperTitle">
    <w:name w:val="SuperTitle"/>
    <w:basedOn w:val="Title"/>
    <w:rsid w:val="00AD0D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0D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0D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0D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0D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0D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0D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0D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0D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0D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0D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0D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0D6A"/>
    <w:rPr>
      <w:i/>
    </w:rPr>
  </w:style>
  <w:style w:type="paragraph" w:styleId="Caption">
    <w:name w:val="caption"/>
    <w:basedOn w:val="BodyText"/>
    <w:next w:val="Normal"/>
    <w:qFormat/>
    <w:rsid w:val="00AD0D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0D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0D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0D6A"/>
  </w:style>
  <w:style w:type="paragraph" w:styleId="TableofFigures">
    <w:name w:val="table of figures"/>
    <w:basedOn w:val="Normal"/>
    <w:next w:val="Normal"/>
    <w:semiHidden/>
    <w:rsid w:val="00AD0D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0D6A"/>
    <w:pPr>
      <w:numPr>
        <w:numId w:val="12"/>
      </w:numPr>
    </w:pPr>
  </w:style>
  <w:style w:type="character" w:customStyle="1" w:styleId="WingdingSymbols">
    <w:name w:val="Wingding Symbols"/>
    <w:rsid w:val="00AD0D6A"/>
    <w:rPr>
      <w:rFonts w:ascii="Wingdings" w:hAnsi="Wingdings"/>
    </w:rPr>
  </w:style>
  <w:style w:type="paragraph" w:customStyle="1" w:styleId="TableHeading">
    <w:name w:val="Table Heading"/>
    <w:basedOn w:val="HeadingBase"/>
    <w:rsid w:val="00AD0D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0D6A"/>
    <w:rPr>
      <w:color w:val="0033CC"/>
      <w:u w:val="none"/>
    </w:rPr>
  </w:style>
  <w:style w:type="paragraph" w:customStyle="1" w:styleId="BodyTextRight">
    <w:name w:val="Body Text Right"/>
    <w:basedOn w:val="BodyText"/>
    <w:rsid w:val="00AD0D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0D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0D6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0D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0D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0D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0D6A"/>
    <w:rPr>
      <w:sz w:val="32"/>
    </w:rPr>
  </w:style>
  <w:style w:type="paragraph" w:customStyle="1" w:styleId="HeadingProcedure">
    <w:name w:val="Heading Procedure"/>
    <w:basedOn w:val="HeadingBase"/>
    <w:next w:val="Normal"/>
    <w:rsid w:val="00AD0D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0D6A"/>
    <w:pPr>
      <w:spacing w:before="60" w:after="60"/>
    </w:pPr>
  </w:style>
  <w:style w:type="paragraph" w:styleId="ListContinue">
    <w:name w:val="List Continue"/>
    <w:basedOn w:val="List"/>
    <w:rsid w:val="00AD0D6A"/>
    <w:pPr>
      <w:ind w:firstLine="0"/>
    </w:pPr>
  </w:style>
  <w:style w:type="paragraph" w:customStyle="1" w:styleId="ListNote">
    <w:name w:val="List Note"/>
    <w:basedOn w:val="List"/>
    <w:rsid w:val="00AD0D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0D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0D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0D6A"/>
    <w:rPr>
      <w:rFonts w:ascii="Courier New" w:hAnsi="Courier New"/>
    </w:rPr>
  </w:style>
  <w:style w:type="paragraph" w:customStyle="1" w:styleId="NoteBullet">
    <w:name w:val="Note Bullet"/>
    <w:basedOn w:val="Note"/>
    <w:rsid w:val="00AD0D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0D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0D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0D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0D6A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AD0D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0D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0D6A"/>
    <w:rPr>
      <w:b/>
      <w:smallCaps/>
    </w:rPr>
  </w:style>
  <w:style w:type="paragraph" w:customStyle="1" w:styleId="TableListNumber">
    <w:name w:val="Table List Number"/>
    <w:basedOn w:val="ListNumber"/>
    <w:rsid w:val="00AD0D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0D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0D6A"/>
    <w:pPr>
      <w:numPr>
        <w:numId w:val="10"/>
      </w:numPr>
    </w:pPr>
  </w:style>
  <w:style w:type="paragraph" w:customStyle="1" w:styleId="ListAlpha2">
    <w:name w:val="List Alpha 2"/>
    <w:basedOn w:val="List2"/>
    <w:rsid w:val="00AD0D6A"/>
    <w:pPr>
      <w:numPr>
        <w:numId w:val="9"/>
      </w:numPr>
    </w:pPr>
  </w:style>
  <w:style w:type="paragraph" w:styleId="List2">
    <w:name w:val="List 2"/>
    <w:basedOn w:val="BodyText"/>
    <w:rsid w:val="00AD0D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0D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0D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0D6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D0D6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D0D6A"/>
    <w:pPr>
      <w:numPr>
        <w:numId w:val="5"/>
      </w:numPr>
    </w:pPr>
  </w:style>
  <w:style w:type="paragraph" w:styleId="ListContinue2">
    <w:name w:val="List Continue 2"/>
    <w:basedOn w:val="List2"/>
    <w:rsid w:val="00AD0D6A"/>
    <w:pPr>
      <w:ind w:firstLine="0"/>
    </w:pPr>
  </w:style>
  <w:style w:type="paragraph" w:styleId="ListContinue3">
    <w:name w:val="List Continue 3"/>
    <w:basedOn w:val="List3"/>
    <w:rsid w:val="00AD0D6A"/>
    <w:pPr>
      <w:ind w:left="1021" w:firstLine="0"/>
    </w:pPr>
  </w:style>
  <w:style w:type="paragraph" w:styleId="ListContinue4">
    <w:name w:val="List Continue 4"/>
    <w:basedOn w:val="List4"/>
    <w:rsid w:val="00AD0D6A"/>
    <w:pPr>
      <w:ind w:firstLine="0"/>
    </w:pPr>
  </w:style>
  <w:style w:type="paragraph" w:styleId="ListContinue5">
    <w:name w:val="List Continue 5"/>
    <w:basedOn w:val="List5"/>
    <w:rsid w:val="00AD0D6A"/>
    <w:pPr>
      <w:ind w:firstLine="0"/>
    </w:pPr>
  </w:style>
  <w:style w:type="paragraph" w:styleId="ListNumber3">
    <w:name w:val="List Number 3"/>
    <w:basedOn w:val="List3"/>
    <w:rsid w:val="00AD0D6A"/>
    <w:pPr>
      <w:numPr>
        <w:numId w:val="6"/>
      </w:numPr>
    </w:pPr>
  </w:style>
  <w:style w:type="paragraph" w:styleId="ListNumber4">
    <w:name w:val="List Number 4"/>
    <w:basedOn w:val="List4"/>
    <w:rsid w:val="00AD0D6A"/>
    <w:pPr>
      <w:numPr>
        <w:numId w:val="7"/>
      </w:numPr>
    </w:pPr>
  </w:style>
  <w:style w:type="paragraph" w:styleId="ListNumber5">
    <w:name w:val="List Number 5"/>
    <w:basedOn w:val="List5"/>
    <w:rsid w:val="00AD0D6A"/>
    <w:pPr>
      <w:numPr>
        <w:numId w:val="8"/>
      </w:numPr>
    </w:pPr>
  </w:style>
  <w:style w:type="paragraph" w:styleId="BlockText">
    <w:name w:val="Block Text"/>
    <w:basedOn w:val="Normal"/>
    <w:rsid w:val="00AD0D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0D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0D6A"/>
    <w:rPr>
      <w:sz w:val="16"/>
      <w:vertAlign w:val="superscript"/>
    </w:rPr>
  </w:style>
  <w:style w:type="character" w:customStyle="1" w:styleId="Symbols">
    <w:name w:val="Symbols"/>
    <w:basedOn w:val="DefaultParagraphFont"/>
    <w:rsid w:val="00AD0D6A"/>
    <w:rPr>
      <w:rFonts w:ascii="Symbol" w:hAnsi="Symbol"/>
    </w:rPr>
  </w:style>
  <w:style w:type="character" w:customStyle="1" w:styleId="MenuOptions">
    <w:name w:val="Menu Options"/>
    <w:basedOn w:val="DefaultParagraphFont"/>
    <w:rsid w:val="00AD0D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0D6A"/>
    <w:rPr>
      <w:b/>
    </w:rPr>
  </w:style>
  <w:style w:type="character" w:customStyle="1" w:styleId="Underlined">
    <w:name w:val="Underlined"/>
    <w:basedOn w:val="DefaultParagraphFont"/>
    <w:rsid w:val="00AD0D6A"/>
    <w:rPr>
      <w:u w:val="single"/>
    </w:rPr>
  </w:style>
  <w:style w:type="paragraph" w:customStyle="1" w:styleId="TableBodyTextRight">
    <w:name w:val="Table Body Text Right"/>
    <w:basedOn w:val="TableBodyText"/>
    <w:rsid w:val="00AD0D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0D6A"/>
    <w:rPr>
      <w:sz w:val="18"/>
    </w:rPr>
  </w:style>
  <w:style w:type="paragraph" w:customStyle="1" w:styleId="BodySmallRight">
    <w:name w:val="Body Small Right"/>
    <w:basedOn w:val="BodyTextRight"/>
    <w:rsid w:val="00AD0D6A"/>
    <w:rPr>
      <w:sz w:val="18"/>
      <w:szCs w:val="18"/>
    </w:rPr>
  </w:style>
  <w:style w:type="paragraph" w:customStyle="1" w:styleId="MarginEdition">
    <w:name w:val="Margin Edition"/>
    <w:basedOn w:val="MarginNote"/>
    <w:rsid w:val="00AD0D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0D6A"/>
    <w:rPr>
      <w:sz w:val="2"/>
      <w:szCs w:val="2"/>
    </w:rPr>
  </w:style>
  <w:style w:type="character" w:customStyle="1" w:styleId="Small">
    <w:name w:val="Small"/>
    <w:basedOn w:val="DefaultParagraphFont"/>
    <w:rsid w:val="00AD0D6A"/>
    <w:rPr>
      <w:sz w:val="16"/>
    </w:rPr>
  </w:style>
  <w:style w:type="paragraph" w:customStyle="1" w:styleId="WideTable">
    <w:name w:val="Wide Table"/>
    <w:basedOn w:val="Normal"/>
    <w:rsid w:val="00AD0D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0D6A"/>
  </w:style>
  <w:style w:type="paragraph" w:styleId="Quote">
    <w:name w:val="Quote"/>
    <w:basedOn w:val="Heading1"/>
    <w:link w:val="QuoteChar"/>
    <w:qFormat/>
    <w:rsid w:val="00AD0D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0D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0D6A"/>
    <w:pPr>
      <w:pageBreakBefore/>
    </w:pPr>
  </w:style>
  <w:style w:type="paragraph" w:customStyle="1" w:styleId="Border">
    <w:name w:val="Border"/>
    <w:basedOn w:val="Normal"/>
    <w:qFormat/>
    <w:rsid w:val="00AD0D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0D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D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D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0D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0D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0D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0D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0D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0D6A"/>
    <w:rPr>
      <w:u w:val="single"/>
    </w:rPr>
  </w:style>
  <w:style w:type="character" w:customStyle="1" w:styleId="BoldandItalics">
    <w:name w:val="Bold and Italics"/>
    <w:qFormat/>
    <w:rsid w:val="00AD0D6A"/>
    <w:rPr>
      <w:b/>
      <w:i/>
      <w:u w:val="none"/>
    </w:rPr>
  </w:style>
  <w:style w:type="paragraph" w:styleId="BalloonText">
    <w:name w:val="Balloon Text"/>
    <w:basedOn w:val="Normal"/>
    <w:link w:val="BalloonTextChar"/>
    <w:rsid w:val="00AD0D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0D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0D6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0D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0D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0D6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871</Words>
  <Characters>5792</Characters>
  <Application>Microsoft Office Word</Application>
  <DocSecurity>0</DocSecurity>
  <Lines>116</Lines>
  <Paragraphs>71</Paragraphs>
  <ScaleCrop>false</ScaleCrop>
  <Company>Author-it Software Corporation Ltd.</Company>
  <LinksUpToDate>false</LinksUpToDate>
  <CharactersWithSpaces>6662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MSL975002 Perform haematological tests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2016-03-01T06:32:00Z</dcterms:created>
  <dcterms:modified xsi:type="dcterms:W3CDTF">2016-03-01T06:32:00Z</dcterms:modified>
</cp:coreProperties>
</file>