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707" w:rsidP="00594707">
      <w:pPr>
        <w:pStyle w:val="Title"/>
      </w:pPr>
      <w:r>
        <w:fldChar w:fldCharType="begin"/>
      </w:r>
      <w:r>
        <w:instrText xml:space="preserve"> TITLE   \* MERGEFORMAT </w:instrText>
      </w:r>
      <w:r>
        <w:fldChar w:fldCharType="separate"/>
      </w:r>
      <w:r>
        <w:t>MSL975001 Perform microbiological tests</w:t>
      </w:r>
      <w:r>
        <w:fldChar w:fldCharType="end"/>
      </w:r>
    </w:p>
    <w:p w:rsidR="00594707" w:rsidP="00594707">
      <w:pPr>
        <w:pStyle w:val="Version"/>
        <w:sectPr w:rsidSect="00153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1D3" w:rsidP="001531D3">
      <w:pPr>
        <w:pStyle w:val="SuperHeading"/>
      </w:pPr>
      <w:r w:rsidRPr="001531D3">
        <w:t>MSL975001 Perform microbiological tests</w:t>
      </w:r>
    </w:p>
    <w:p w:rsidR="00000000" w:rsidRPr="001531D3" w:rsidP="001531D3">
      <w:pPr>
        <w:pStyle w:val="Heading1"/>
      </w:pPr>
      <w:bookmarkStart w:id="1" w:name="O_900647"/>
      <w:bookmarkEnd w:id="1"/>
      <w:r w:rsidRPr="001531D3">
        <w:t>Modification History</w:t>
      </w:r>
    </w:p>
    <w:p w:rsidR="00000000" w:rsidRPr="001531D3" w:rsidP="001531D3">
      <w:pPr>
        <w:pStyle w:val="BodyText"/>
      </w:pPr>
      <w:r w:rsidRPr="001531D3">
        <w:t>Release 1. Supersedes and is equivalent to MSL975001A Perform microbiological tests</w:t>
      </w:r>
    </w:p>
    <w:p w:rsidR="00000000" w:rsidRPr="001531D3" w:rsidP="001531D3">
      <w:pPr>
        <w:pStyle w:val="AllowPageBreak"/>
      </w:pPr>
    </w:p>
    <w:p w:rsidR="00000000" w:rsidRPr="001531D3" w:rsidP="001531D3">
      <w:pPr>
        <w:pStyle w:val="Heading1"/>
      </w:pPr>
      <w:bookmarkStart w:id="2" w:name="O_900655"/>
      <w:bookmarkEnd w:id="2"/>
      <w:r w:rsidRPr="001531D3">
        <w:t>Application</w:t>
      </w:r>
    </w:p>
    <w:p w:rsidR="00000000" w:rsidRPr="001531D3" w:rsidP="001531D3">
      <w:pPr>
        <w:pStyle w:val="BodyText"/>
      </w:pPr>
      <w:r w:rsidRPr="001531D3">
        <w:t>This unit of competency covers the ability to contribute to the culture, isolation and identification of microorganisms, s</w:t>
      </w:r>
      <w:r w:rsidRPr="001531D3">
        <w:t>uch as bacteria, fungi, viruses, protozoans, algae and parasites, in order to investigate the physiology and pathology of plants and animals, monitor the natural environment, and to assist in the production of foods, pharmaceutical goods and other manufact</w:t>
      </w:r>
      <w:r w:rsidRPr="001531D3">
        <w:t>ured materials.</w:t>
      </w:r>
    </w:p>
    <w:p w:rsidR="00000000" w:rsidRPr="001531D3" w:rsidP="001531D3">
      <w:pPr>
        <w:pStyle w:val="BodyText"/>
      </w:pPr>
    </w:p>
    <w:p w:rsidR="00000000" w:rsidRPr="001531D3" w:rsidP="001531D3">
      <w:pPr>
        <w:pStyle w:val="BodyText"/>
      </w:pPr>
      <w:r w:rsidRPr="001531D3">
        <w:t xml:space="preserve">This unit of competency is applicable to laboratory technicians and technical officers working in the biomedical, biotechnology, environmental, manufacturing and food processing industry sectors. The results of work performed by technical </w:t>
      </w:r>
      <w:r w:rsidRPr="001531D3">
        <w:t xml:space="preserve">personnel would normally be integrated, interpreted and reported on by scientists, medical, veterinary or plant pathologists or other responsible officers in a workplace. Although a supervisor may not always be present, the technician will follow standard </w:t>
      </w:r>
      <w:r w:rsidRPr="001531D3">
        <w:t xml:space="preserve">operating procedures (SOPs) that will clearly describe the scope of permitted practice in modifying testing procedures, interpreting of data and for communicating test results to people outside the laboratory. </w:t>
      </w:r>
    </w:p>
    <w:p w:rsidR="00000000" w:rsidRPr="001531D3" w:rsidP="001531D3">
      <w:pPr>
        <w:pStyle w:val="BodyText"/>
      </w:pPr>
    </w:p>
    <w:p w:rsidR="00000000" w:rsidRPr="001531D3" w:rsidP="001531D3">
      <w:pPr>
        <w:pStyle w:val="BodyText"/>
      </w:pPr>
      <w:r w:rsidRPr="001531D3">
        <w:t>It is applicable to investigations as well a</w:t>
      </w:r>
      <w:r w:rsidRPr="001531D3">
        <w:t>s addressing the broader needs of biotechnology and tissue culture applications.</w:t>
      </w:r>
    </w:p>
    <w:p w:rsidR="00000000" w:rsidRPr="001531D3" w:rsidP="001531D3">
      <w:pPr>
        <w:pStyle w:val="BodyText"/>
      </w:pPr>
    </w:p>
    <w:p w:rsidR="00000000" w:rsidRPr="001531D3" w:rsidP="001531D3">
      <w:pPr>
        <w:pStyle w:val="BodyText"/>
      </w:pPr>
      <w:r w:rsidRPr="001531D3">
        <w:t>While no specific licensing or certification requirements apply to this unit at the time of publication, laboratory operations are governed by relevant legislation, regulatio</w:t>
      </w:r>
      <w:r w:rsidRPr="001531D3">
        <w:t>ns and/or external accreditation requirements. Local requirements should be checked.</w:t>
      </w:r>
    </w:p>
    <w:p w:rsidR="00000000" w:rsidRPr="001531D3" w:rsidP="001531D3">
      <w:pPr>
        <w:pStyle w:val="AllowPageBreak"/>
      </w:pPr>
    </w:p>
    <w:p w:rsidR="00000000" w:rsidRPr="001531D3" w:rsidP="001531D3">
      <w:pPr>
        <w:pStyle w:val="Heading1"/>
      </w:pPr>
      <w:bookmarkStart w:id="3" w:name="O_900654"/>
      <w:bookmarkEnd w:id="3"/>
      <w:r w:rsidRPr="001531D3">
        <w:t>Pre-requisite Unit</w:t>
      </w:r>
    </w:p>
    <w:tbl>
      <w:tblPr>
        <w:tblW w:w="0" w:type="auto"/>
        <w:tblCellMar>
          <w:left w:w="62" w:type="dxa"/>
          <w:right w:w="62" w:type="dxa"/>
        </w:tblCellMar>
        <w:tblLook w:val="0000"/>
      </w:tblPr>
      <w:tblGrid>
        <w:gridCol w:w="2163"/>
        <w:gridCol w:w="7033"/>
      </w:tblGrid>
      <w:tr w:rsidTr="005947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MSL973007</w:t>
            </w:r>
          </w:p>
        </w:tc>
        <w:tc>
          <w:tcPr>
            <w:tcW w:w="0" w:type="auto"/>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Perform microscopic examination</w:t>
            </w:r>
          </w:p>
        </w:tc>
      </w:tr>
      <w:tr w:rsidTr="005947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MSL973004</w:t>
            </w:r>
          </w:p>
        </w:tc>
        <w:tc>
          <w:tcPr>
            <w:tcW w:w="0" w:type="auto"/>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Perform aseptic techniques</w:t>
            </w:r>
          </w:p>
        </w:tc>
      </w:tr>
    </w:tbl>
    <w:p w:rsidR="00000000" w:rsidRPr="001531D3" w:rsidP="001531D3">
      <w:pPr>
        <w:pStyle w:val="BodyText"/>
      </w:pPr>
    </w:p>
    <w:p w:rsidR="00000000" w:rsidRPr="001531D3" w:rsidP="001531D3">
      <w:pPr>
        <w:pStyle w:val="AllowPageBreak"/>
      </w:pPr>
    </w:p>
    <w:p w:rsidR="00000000" w:rsidRPr="001531D3" w:rsidP="001531D3">
      <w:pPr>
        <w:pStyle w:val="Heading1"/>
      </w:pPr>
      <w:bookmarkStart w:id="4" w:name="O_900653"/>
      <w:bookmarkEnd w:id="4"/>
      <w:r w:rsidRPr="001531D3">
        <w:t>Competency Field</w:t>
      </w:r>
    </w:p>
    <w:p w:rsidR="00000000" w:rsidRPr="001531D3" w:rsidP="001531D3">
      <w:pPr>
        <w:pStyle w:val="BodyText"/>
      </w:pPr>
      <w:r w:rsidRPr="001531D3">
        <w:t>Testing</w:t>
      </w:r>
    </w:p>
    <w:p w:rsidR="00000000" w:rsidRPr="001531D3" w:rsidP="001531D3">
      <w:pPr>
        <w:pStyle w:val="AllowPageBreak"/>
      </w:pPr>
    </w:p>
    <w:p w:rsidR="00000000" w:rsidRPr="001531D3" w:rsidP="001531D3">
      <w:pPr>
        <w:pStyle w:val="Heading1"/>
      </w:pPr>
      <w:bookmarkStart w:id="5" w:name="O_900652"/>
      <w:bookmarkEnd w:id="5"/>
      <w:r w:rsidRPr="001531D3">
        <w:t>Unit Sector</w:t>
      </w:r>
    </w:p>
    <w:p w:rsidR="00000000" w:rsidRPr="001531D3" w:rsidP="001531D3">
      <w:pPr>
        <w:pStyle w:val="Heading1"/>
      </w:pPr>
      <w:bookmarkStart w:id="6" w:name="O_900651"/>
      <w:bookmarkEnd w:id="6"/>
      <w:r w:rsidRPr="001531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531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Performance criteria describe the performance needed to demonstrate achievement of the element.</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1</w:t>
            </w:r>
          </w:p>
        </w:tc>
        <w:tc>
          <w:tcPr>
            <w:tcW w:w="1962" w:type="dxa"/>
            <w:vMerge w:val="restart"/>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Receive samples and process associated requ</w:t>
            </w:r>
            <w:r w:rsidRPr="001531D3">
              <w:rPr>
                <w:rStyle w:val="SpecialBold"/>
              </w:rPr>
              <w:t>est forms</w:t>
            </w: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1.1</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Check samples and request form details before they are accepted</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1.2</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Return samples and request forms that do not comply with requirements to source with reasons for non-acceptance</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1.3</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Log samples, recording details that allow accurate tracking and chain of custody</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1.4</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Distribute samples for local testing or dispatch samples to other testing facilities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1.5</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Store samples appropriately where testing or transport is to be delayed</w:t>
            </w:r>
          </w:p>
        </w:tc>
      </w:tr>
      <w:tr w:rsidTr="001531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2</w:t>
            </w:r>
          </w:p>
        </w:tc>
        <w:tc>
          <w:tcPr>
            <w:tcW w:w="1962" w:type="dxa"/>
            <w:vMerge w:val="restart"/>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Prepare for safe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2.1</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Select work area and equipment required for the safe handling of materials that may contain microorganisms of specified risk groups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2.2</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Wear protective apparel, replacing it when contamination is suspected</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2.3</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Apply correct disinfection procedures to work areas before and after use</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2.4</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Locate relevant emergency equipment for timely response to microbiological accidents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2.5</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Apply standard precautions when handling biological materials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2.6</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Minimise the production and release of aerosols, using biological safety cabinets where necessary</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2.7</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Clean spills, and report all spills and suspected incidents to supervisor</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2.8</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W</w:t>
            </w:r>
            <w:r w:rsidRPr="001531D3">
              <w:t>ash hands before and after laboratory work and when contamination is suspected</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2.9</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Ensure the safe disposal of biohazardous materials and other laboratory wastes in accordance with workplace procedures</w:t>
            </w:r>
          </w:p>
        </w:tc>
      </w:tr>
      <w:tr w:rsidTr="001531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3</w:t>
            </w:r>
          </w:p>
        </w:tc>
        <w:tc>
          <w:tcPr>
            <w:tcW w:w="1962" w:type="dxa"/>
            <w:vMerge w:val="restart"/>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Process samples for direct examination</w:t>
            </w: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3.1</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Prepare thin smears of samples for subsequent staining to enable microscopic identification of cells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3.2</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Prepare liquid films of specimens for direct observation for motility or cell structure</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3.3</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Prepare samples to concentrate material for subsequent staining or microscopy</w:t>
            </w:r>
          </w:p>
        </w:tc>
      </w:tr>
      <w:tr w:rsidTr="001531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4</w:t>
            </w:r>
          </w:p>
        </w:tc>
        <w:tc>
          <w:tcPr>
            <w:tcW w:w="1962" w:type="dxa"/>
            <w:vMerge w:val="restart"/>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Prepare pure cultures for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4.1</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Select culture media to maximise growth of microorganisms and cells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4.2</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Inoculate media aseptically, applying techniques suitable for purpose of culture</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4.3</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Incubate inoculated media in conditions to optimise growth of organisms and cells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4.4</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Subculture on suitable media to optimise production of pure cultures</w:t>
            </w:r>
          </w:p>
        </w:tc>
      </w:tr>
      <w:tr w:rsidTr="001531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5</w:t>
            </w:r>
          </w:p>
        </w:tc>
        <w:tc>
          <w:tcPr>
            <w:tcW w:w="1962" w:type="dxa"/>
            <w:vMerge w:val="restart"/>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Perform procedures that can assist in the identification of microorganisms</w:t>
            </w: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5.1</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Select staining techniques to demonstrate required cellular characteristics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5.2</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Stain prepared films to demonstrate diagnostically useful characteristics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5.3</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Inoculate and incubate media with pure cultures to assist in the biochemical and immunological identification of microorganisms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5.4</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Perform tests on pure cultures to assist in the biochemical and immunological identification of microorganisms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5.5</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Perform antibiotic sensitivity testing, if required</w:t>
            </w:r>
          </w:p>
        </w:tc>
      </w:tr>
      <w:tr w:rsidTr="001531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6</w:t>
            </w:r>
          </w:p>
        </w:tc>
        <w:tc>
          <w:tcPr>
            <w:tcW w:w="1962" w:type="dxa"/>
            <w:vMerge w:val="restart"/>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Estimate the number and/or size of micro-organisms in samples</w:t>
            </w: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6.1</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Count cells in undiluted samples to indicate the dilution necessary to reliably count organisms in culture</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6.2</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Prepare serial dilutions of samples aseptically for culture and colony counting</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6.3</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Count colonies for calculating number of viable organisms per unit volume</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6.4</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Count microorganisms in samples and cultures using spectrometric and electronic methodol</w:t>
            </w:r>
            <w:r w:rsidRPr="001531D3">
              <w:t>ogies, where relevant</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6.5</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Estimate and document uncertainty of measurement in accordance with workplace procedures, where relevant</w:t>
            </w:r>
          </w:p>
        </w:tc>
      </w:tr>
      <w:tr w:rsidTr="001531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7</w:t>
            </w:r>
          </w:p>
        </w:tc>
        <w:tc>
          <w:tcPr>
            <w:tcW w:w="1962" w:type="dxa"/>
            <w:vMerge w:val="restart"/>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Maintain records of laboratory work</w:t>
            </w: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7.1</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Make entries on report forms or into computer systems, accurately calculating, recording or transcribing data as required</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7.2</w:t>
            </w:r>
          </w:p>
        </w:tc>
        <w:tc>
          <w:tcPr>
            <w:tcW w:w="561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Maintain instrument logs as required by accreditation checklists</w:t>
            </w:r>
          </w:p>
        </w:tc>
      </w:tr>
      <w:tr w:rsidTr="00153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7.3</w:t>
            </w:r>
          </w:p>
        </w:tc>
        <w:tc>
          <w:tcPr>
            <w:tcW w:w="5610" w:type="dxa"/>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Maintain security and confidentiality of all clinical information, laboratory data and records</w:t>
            </w:r>
          </w:p>
        </w:tc>
      </w:tr>
    </w:tbl>
    <w:p w:rsidR="00000000" w:rsidRPr="001531D3" w:rsidP="001531D3">
      <w:pPr>
        <w:pStyle w:val="BodyText"/>
      </w:pPr>
    </w:p>
    <w:p w:rsidR="00000000" w:rsidRPr="001531D3" w:rsidP="001531D3">
      <w:pPr>
        <w:pStyle w:val="AllowPageBreak"/>
      </w:pPr>
    </w:p>
    <w:p w:rsidR="00000000" w:rsidRPr="001531D3" w:rsidP="001531D3">
      <w:pPr>
        <w:pStyle w:val="Heading1"/>
      </w:pPr>
      <w:bookmarkStart w:id="7" w:name="O_900650"/>
      <w:bookmarkEnd w:id="7"/>
      <w:r w:rsidRPr="001531D3">
        <w:t>Foundation Skills</w:t>
      </w:r>
    </w:p>
    <w:p w:rsidR="00000000" w:rsidRPr="001531D3" w:rsidP="001531D3">
      <w:pPr>
        <w:pStyle w:val="BodyText"/>
      </w:pPr>
      <w:r w:rsidRPr="001531D3">
        <w:t>This section describes those language, literacy, numeracy and employment skills that are essential to performance.</w:t>
      </w:r>
    </w:p>
    <w:p w:rsidR="00000000" w:rsidRPr="001531D3" w:rsidP="001531D3">
      <w:pPr>
        <w:pStyle w:val="BodyText"/>
      </w:pPr>
    </w:p>
    <w:p w:rsidR="00000000" w:rsidRPr="001531D3" w:rsidP="001531D3">
      <w:pPr>
        <w:pStyle w:val="BodyText"/>
      </w:pPr>
      <w:r w:rsidRPr="001531D3">
        <w:t>Foundation skills essential to performance are explicit in the performance criteria of this unit of competency.</w:t>
      </w:r>
    </w:p>
    <w:p w:rsidR="00000000" w:rsidRPr="001531D3" w:rsidP="001531D3">
      <w:pPr>
        <w:pStyle w:val="AllowPageBreak"/>
      </w:pPr>
    </w:p>
    <w:p w:rsidR="00000000" w:rsidRPr="001531D3" w:rsidP="001531D3">
      <w:pPr>
        <w:pStyle w:val="Heading1"/>
      </w:pPr>
      <w:bookmarkStart w:id="8" w:name="O_900649"/>
      <w:bookmarkEnd w:id="8"/>
      <w:r w:rsidRPr="001531D3">
        <w:t>Range of Conditions</w:t>
      </w:r>
    </w:p>
    <w:tbl>
      <w:tblPr>
        <w:tblW w:w="0" w:type="auto"/>
        <w:tblCellMar>
          <w:left w:w="62" w:type="dxa"/>
          <w:right w:w="62" w:type="dxa"/>
        </w:tblCellMar>
        <w:tblLook w:val="0000"/>
      </w:tblPr>
      <w:tblGrid>
        <w:gridCol w:w="2163"/>
        <w:gridCol w:w="7033"/>
      </w:tblGrid>
      <w:tr w:rsidTr="005947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t>This field allows for different work environments and conditions that may affect performance. Essential ope</w:t>
            </w:r>
            <w:r w:rsidRPr="001531D3">
              <w:t>rating conditions that may be present (depending on the work situation, needs of the candidate, accessibility of the item, and local industry and regional contexts) are included.</w:t>
            </w:r>
          </w:p>
        </w:tc>
      </w:tr>
      <w:tr w:rsidTr="005947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Standards, code</w:t>
            </w:r>
            <w:r w:rsidRPr="001531D3">
              <w:t>s, procedures and/or workplace requirements include the latest version of one or more of:</w:t>
            </w:r>
          </w:p>
          <w:p w:rsidR="00000000" w:rsidRPr="001531D3" w:rsidP="001531D3">
            <w:pPr>
              <w:pStyle w:val="ListBullet"/>
            </w:pPr>
            <w:r w:rsidRPr="001531D3">
              <w:t xml:space="preserve">Australian and international standards, guidelines and codes covering laboratory safety; competence of testing and calibration laboratories; occupational protective </w:t>
            </w:r>
            <w:r w:rsidRPr="001531D3">
              <w:t>equipment; labelling of workplace substances; storage, handling and transport of dangerous goods; environmental management; physical containment levels and facility types; and safety cabinets</w:t>
            </w:r>
          </w:p>
          <w:p w:rsidR="00000000" w:rsidRPr="001531D3" w:rsidP="001531D3">
            <w:pPr>
              <w:pStyle w:val="ListBullet"/>
            </w:pPr>
            <w:r w:rsidRPr="001531D3">
              <w:t>national work health and safety (WHS) standards and codes of pra</w:t>
            </w:r>
            <w:r w:rsidRPr="001531D3">
              <w:t>ctice, and national measurement regulations and guidelines</w:t>
            </w:r>
          </w:p>
          <w:p w:rsidR="00000000" w:rsidRPr="001531D3" w:rsidP="001531D3">
            <w:pPr>
              <w:pStyle w:val="ListBullet"/>
            </w:pPr>
            <w:r w:rsidRPr="001531D3">
              <w:t>specific codes, guidelines and methods covering microbiological procedures, and small scale genetic manipulation work in accordance with gene technology regulations</w:t>
            </w:r>
          </w:p>
          <w:p w:rsidR="00000000" w:rsidRPr="001531D3" w:rsidP="001531D3">
            <w:pPr>
              <w:pStyle w:val="ListBullet"/>
            </w:pPr>
            <w:r w:rsidRPr="001531D3">
              <w:t>workplace documents, such as SOP</w:t>
            </w:r>
            <w:r w:rsidRPr="001531D3">
              <w:t>s; quality procedures; equipment manuals; calibration and maintenance schedules; material safety data sheets (MSDS) and safety procedures; laboratory schedules; workplace recording and reporting procedures; waste minimisation, containment and safe disposal</w:t>
            </w:r>
            <w:r w:rsidRPr="001531D3">
              <w:t xml:space="preserve"> procedures; cleaning, hygiene and personal hygiene requirements</w:t>
            </w:r>
          </w:p>
          <w:p w:rsidR="00000000" w:rsidRPr="001531D3" w:rsidP="001531D3">
            <w:pPr>
              <w:pStyle w:val="ListBullet"/>
            </w:pPr>
            <w:r w:rsidRPr="001531D3">
              <w:t>instructions to comply with new legislation, standards, guidelines and codes</w:t>
            </w:r>
          </w:p>
          <w:p w:rsidR="00000000" w:rsidRPr="001531D3" w:rsidP="001531D3">
            <w:pPr>
              <w:pStyle w:val="ListBullet"/>
            </w:pPr>
            <w:r w:rsidRPr="001531D3">
              <w:t>sampling procedures (labelling, preparation, storage, transport and disposal)</w:t>
            </w:r>
          </w:p>
          <w:p w:rsidR="00000000" w:rsidRPr="001531D3" w:rsidP="001531D3">
            <w:pPr>
              <w:pStyle w:val="ListBullet"/>
            </w:pPr>
            <w:r w:rsidRPr="001531D3">
              <w:t>test procedu</w:t>
            </w:r>
            <w:r w:rsidRPr="001531D3">
              <w:t>res (validated and authorised)</w:t>
            </w:r>
          </w:p>
          <w:p w:rsidR="00000000" w:rsidRPr="001531D3" w:rsidP="001531D3">
            <w:pPr>
              <w:pStyle w:val="ListBullet"/>
            </w:pPr>
            <w:r w:rsidRPr="001531D3">
              <w:t>schematics, work flows and laboratory layouts</w:t>
            </w:r>
          </w:p>
          <w:p w:rsidR="00000000" w:rsidP="001531D3">
            <w:pPr>
              <w:pStyle w:val="BodyText"/>
              <w:rPr>
                <w:lang w:val="en-NZ"/>
              </w:rPr>
            </w:pPr>
          </w:p>
        </w:tc>
      </w:tr>
      <w:tr w:rsidTr="005947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Communication includes interactions with one or more of:</w:t>
            </w:r>
          </w:p>
          <w:p w:rsidR="00000000" w:rsidRPr="001531D3" w:rsidP="001531D3">
            <w:pPr>
              <w:pStyle w:val="ListBullet"/>
            </w:pPr>
            <w:r w:rsidRPr="001531D3">
              <w:t>supervisors and managers (laboratory, quality and customer service)</w:t>
            </w:r>
          </w:p>
          <w:p w:rsidR="00000000" w:rsidRPr="001531D3" w:rsidP="001531D3">
            <w:pPr>
              <w:pStyle w:val="ListBullet"/>
            </w:pPr>
            <w:r w:rsidRPr="001531D3">
              <w:t>personnel in other laboratories in t</w:t>
            </w:r>
            <w:r w:rsidRPr="001531D3">
              <w:t>he workplace or in other workplaces to which work may be referred</w:t>
            </w:r>
          </w:p>
          <w:p w:rsidR="00000000" w:rsidRPr="001531D3" w:rsidP="001531D3">
            <w:pPr>
              <w:pStyle w:val="ListBullet"/>
            </w:pPr>
            <w:r w:rsidRPr="001531D3">
              <w:t>customers, patients and clients</w:t>
            </w:r>
          </w:p>
          <w:p w:rsidR="00000000" w:rsidRPr="001531D3" w:rsidP="001531D3">
            <w:pPr>
              <w:pStyle w:val="ListBullet"/>
            </w:pPr>
            <w:r w:rsidRPr="001531D3">
              <w:t>external auditors and accreditation agencies (e.g. National Association of Testing Authorities (NATA))</w:t>
            </w:r>
          </w:p>
          <w:p w:rsidR="00000000" w:rsidP="001531D3">
            <w:pPr>
              <w:pStyle w:val="BodyText"/>
              <w:rPr>
                <w:lang w:val="en-NZ"/>
              </w:rPr>
            </w:pPr>
          </w:p>
        </w:tc>
      </w:tr>
      <w:tr w:rsidTr="005947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 xml:space="preserve">Safe work practices include, but </w:t>
            </w:r>
            <w:r w:rsidRPr="001531D3">
              <w:t>are not limited to, one or more of:</w:t>
            </w:r>
          </w:p>
          <w:p w:rsidR="00000000" w:rsidRPr="001531D3" w:rsidP="001531D3">
            <w:pPr>
              <w:pStyle w:val="ListBullet"/>
            </w:pPr>
            <w:r w:rsidRPr="001531D3">
              <w:t>ensuring access to service shut-off points</w:t>
            </w:r>
          </w:p>
          <w:p w:rsidR="00000000" w:rsidRPr="001531D3" w:rsidP="001531D3">
            <w:pPr>
              <w:pStyle w:val="ListBullet"/>
            </w:pPr>
            <w:r w:rsidRPr="001531D3">
              <w:t>recognising and observing hazard warnings and safety signs</w:t>
            </w:r>
          </w:p>
          <w:p w:rsidR="00000000" w:rsidRPr="001531D3" w:rsidP="001531D3">
            <w:pPr>
              <w:pStyle w:val="ListBullet"/>
            </w:pPr>
            <w:r w:rsidRPr="001531D3">
              <w:t>labelling of samples, reagents, aliquoted samples and hazardous materials</w:t>
            </w:r>
          </w:p>
          <w:p w:rsidR="00000000" w:rsidRPr="001531D3" w:rsidP="001531D3">
            <w:pPr>
              <w:pStyle w:val="ListBullet"/>
            </w:pPr>
            <w:r w:rsidRPr="001531D3">
              <w:t>handling and storage of hazardous materials and equipment in accordance with labelling, MSDS and manufacturer instructions</w:t>
            </w:r>
          </w:p>
          <w:p w:rsidR="00000000" w:rsidRPr="001531D3" w:rsidP="001531D3">
            <w:pPr>
              <w:pStyle w:val="ListBullet"/>
            </w:pPr>
            <w:r w:rsidRPr="001531D3">
              <w:t>identifying and reporting operating problems or equipment malfunctions</w:t>
            </w:r>
          </w:p>
          <w:p w:rsidR="00000000" w:rsidRPr="001531D3" w:rsidP="001531D3">
            <w:pPr>
              <w:pStyle w:val="ListBullet"/>
            </w:pPr>
            <w:r w:rsidRPr="001531D3">
              <w:t>cleaning and decontaminating equipment and work areas regularl</w:t>
            </w:r>
            <w:r w:rsidRPr="001531D3">
              <w:t>y using workplace procedures</w:t>
            </w:r>
          </w:p>
          <w:p w:rsidR="00000000" w:rsidRPr="001531D3" w:rsidP="001531D3">
            <w:pPr>
              <w:pStyle w:val="ListBullet"/>
            </w:pPr>
            <w:r w:rsidRPr="001531D3">
              <w:t>using personal protective equipment (PPE), such as gloves, safety glasses, coveralls and gowns</w:t>
            </w:r>
          </w:p>
          <w:p w:rsidR="00000000" w:rsidRPr="001531D3" w:rsidP="001531D3">
            <w:pPr>
              <w:pStyle w:val="ListBullet"/>
            </w:pPr>
            <w:r w:rsidRPr="001531D3">
              <w:t>using containment facilities (e.g. PCII, PCIII and PCIV physical containment laboratories), containment equipment (e.g. biohazard co</w:t>
            </w:r>
            <w:r w:rsidRPr="001531D3">
              <w:t>ntainers, laminar flow cabinets, Class I, II and III biohazard cabinets) and containment procedures</w:t>
            </w:r>
          </w:p>
          <w:p w:rsidR="00000000" w:rsidP="001531D3">
            <w:pPr>
              <w:pStyle w:val="BodyText"/>
              <w:rPr>
                <w:lang w:val="en-NZ"/>
              </w:rPr>
            </w:pPr>
          </w:p>
        </w:tc>
      </w:tr>
      <w:tr w:rsidTr="005947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1D3">
            <w:pPr>
              <w:pStyle w:val="BodyText"/>
              <w:rPr>
                <w:lang w:val="en-NZ"/>
              </w:rPr>
            </w:pPr>
            <w:r w:rsidRPr="001531D3">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531D3" w:rsidP="001531D3">
            <w:pPr>
              <w:pStyle w:val="BodyText"/>
            </w:pPr>
            <w:r w:rsidRPr="001531D3">
              <w:t>WHS and environmental management requirements include:</w:t>
            </w:r>
          </w:p>
          <w:p w:rsidR="00000000" w:rsidRPr="001531D3" w:rsidP="001531D3">
            <w:pPr>
              <w:pStyle w:val="ListBullet"/>
            </w:pPr>
            <w:r w:rsidRPr="001531D3">
              <w:t>applying standard precautions relating to the poten</w:t>
            </w:r>
            <w:r w:rsidRPr="001531D3">
              <w:t>tial infectivity of samples and materials presented for laboratory processing</w:t>
            </w:r>
          </w:p>
          <w:p w:rsidR="00000000" w:rsidRPr="001531D3" w:rsidP="001531D3">
            <w:pPr>
              <w:pStyle w:val="ListBullet"/>
            </w:pPr>
            <w:r w:rsidRPr="001531D3">
              <w:t>complying with WHS and environmental management requirements at all times, which may be imposed through state/territory or federal legislation. These requirements must not be com</w:t>
            </w:r>
            <w:r w:rsidRPr="001531D3">
              <w:t>promised at any time</w:t>
            </w:r>
          </w:p>
          <w:p w:rsidR="00000000" w:rsidRPr="001531D3" w:rsidP="001531D3">
            <w:pPr>
              <w:pStyle w:val="ListBullet"/>
            </w:pPr>
            <w:r w:rsidRPr="001531D3">
              <w:t>applying standard precautions relating to the potentially hazardous nature of samples</w:t>
            </w:r>
          </w:p>
          <w:p w:rsidR="00000000" w:rsidRPr="001531D3" w:rsidP="001531D3">
            <w:pPr>
              <w:pStyle w:val="ListBullet"/>
            </w:pPr>
            <w:r w:rsidRPr="001531D3">
              <w:t>accessing and applying current industry understanding of infection control issued by the National Health and Medical Research Council (NHMRC) and Sta</w:t>
            </w:r>
            <w:r w:rsidRPr="001531D3">
              <w:t>te and Territory Departments of Health, where relevant</w:t>
            </w:r>
          </w:p>
        </w:tc>
      </w:tr>
    </w:tbl>
    <w:p w:rsidR="00000000" w:rsidRPr="001531D3" w:rsidP="001531D3">
      <w:pPr>
        <w:pStyle w:val="BodyText"/>
      </w:pPr>
    </w:p>
    <w:p w:rsidR="00000000" w:rsidRPr="001531D3" w:rsidP="001531D3">
      <w:pPr>
        <w:pStyle w:val="AllowPageBreak"/>
      </w:pPr>
    </w:p>
    <w:p w:rsidR="00000000" w:rsidRPr="001531D3" w:rsidP="001531D3">
      <w:pPr>
        <w:pStyle w:val="Heading1"/>
      </w:pPr>
      <w:bookmarkStart w:id="9" w:name="O_900648"/>
      <w:bookmarkEnd w:id="9"/>
      <w:r w:rsidRPr="001531D3">
        <w:t>Unit Mapping Information</w:t>
      </w:r>
    </w:p>
    <w:p w:rsidR="00000000" w:rsidRPr="001531D3" w:rsidP="001531D3">
      <w:pPr>
        <w:pStyle w:val="BodyText"/>
      </w:pPr>
      <w:r w:rsidRPr="001531D3">
        <w:t>Release 1. Supersedes and is equivalent to MSL975001A Perform microbiological tests</w:t>
      </w:r>
    </w:p>
    <w:p w:rsidR="00000000" w:rsidRPr="001531D3" w:rsidP="001531D3">
      <w:pPr>
        <w:pStyle w:val="AllowPageBreak"/>
      </w:pPr>
    </w:p>
    <w:p w:rsidR="00000000" w:rsidRPr="001531D3" w:rsidP="001531D3">
      <w:pPr>
        <w:pStyle w:val="Heading1"/>
      </w:pPr>
      <w:bookmarkStart w:id="10" w:name="O_900641"/>
      <w:bookmarkEnd w:id="10"/>
      <w:r w:rsidRPr="001531D3">
        <w:t>Links</w:t>
      </w:r>
    </w:p>
    <w:p w:rsidR="00000000" w:rsidRPr="001531D3" w:rsidP="001531D3">
      <w:pPr>
        <w:pStyle w:val="BodyText"/>
      </w:pPr>
      <w:r w:rsidRPr="001531D3">
        <w:t>Companion Volume implementation guides are found in VETNet - https://vetnet.education.gov.au/Pages/TrainingDocs.aspx?q=5c63a03b-4a6b-4ae5-9560-1e3c5f462baa</w:t>
      </w:r>
    </w:p>
    <w:p w:rsidR="00000000" w:rsidRPr="001531D3" w:rsidP="001531D3"/>
    <w:sectPr w:rsidSect="00153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D3" w:rsidRPr="00594707" w:rsidP="00594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7" w:rsidP="00153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94707" w:rsidP="001531D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4707" w:rsidP="00153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1D3" w:rsidRPr="00594707" w:rsidP="00594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7" w:rsidRPr="002D2AF8" w:rsidP="001531D3">
    <w:pPr>
      <w:pStyle w:val="Header"/>
      <w:framePr w:wrap="around"/>
    </w:pPr>
    <w:r>
      <w:fldChar w:fldCharType="begin"/>
    </w:r>
    <w:r>
      <w:instrText xml:space="preserve"> TITLE   \* MERGEFORMAT </w:instrText>
    </w:r>
    <w:r>
      <w:fldChar w:fldCharType="separate"/>
    </w:r>
    <w:r>
      <w:t>MSL975001 Perform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594707" w:rsidP="00153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5A6E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3AC5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1D3"/>
    <w:pPr>
      <w:spacing w:before="360" w:after="60"/>
      <w:outlineLvl w:val="0"/>
    </w:pPr>
    <w:rPr>
      <w:sz w:val="32"/>
    </w:rPr>
  </w:style>
  <w:style w:type="paragraph" w:styleId="Heading2">
    <w:name w:val="heading 2"/>
    <w:basedOn w:val="HeadingBase"/>
    <w:next w:val="BodyText"/>
    <w:link w:val="Heading2Char"/>
    <w:qFormat/>
    <w:rsid w:val="001531D3"/>
    <w:pPr>
      <w:keepLines/>
      <w:spacing w:before="240" w:after="120"/>
      <w:outlineLvl w:val="1"/>
    </w:pPr>
    <w:rPr>
      <w:sz w:val="28"/>
      <w:szCs w:val="40"/>
    </w:rPr>
  </w:style>
  <w:style w:type="paragraph" w:styleId="Heading3">
    <w:name w:val="heading 3"/>
    <w:basedOn w:val="HeadingBase"/>
    <w:next w:val="BodyText"/>
    <w:link w:val="Heading3Char"/>
    <w:qFormat/>
    <w:rsid w:val="001531D3"/>
    <w:pPr>
      <w:spacing w:before="180" w:after="120"/>
      <w:outlineLvl w:val="2"/>
    </w:pPr>
    <w:rPr>
      <w:spacing w:val="-10"/>
      <w:kern w:val="32"/>
    </w:rPr>
  </w:style>
  <w:style w:type="paragraph" w:styleId="Heading4">
    <w:name w:val="heading 4"/>
    <w:basedOn w:val="HeadingBase"/>
    <w:next w:val="BodyText"/>
    <w:link w:val="Heading4Char"/>
    <w:qFormat/>
    <w:rsid w:val="001531D3"/>
    <w:pPr>
      <w:spacing w:before="160" w:after="120"/>
      <w:outlineLvl w:val="3"/>
    </w:pPr>
    <w:rPr>
      <w:sz w:val="22"/>
    </w:rPr>
  </w:style>
  <w:style w:type="paragraph" w:styleId="Heading5">
    <w:name w:val="heading 5"/>
    <w:basedOn w:val="HeadingBase"/>
    <w:next w:val="Normal"/>
    <w:link w:val="Heading5Char"/>
    <w:qFormat/>
    <w:rsid w:val="001531D3"/>
    <w:pPr>
      <w:spacing w:before="80"/>
      <w:outlineLvl w:val="4"/>
    </w:pPr>
    <w:rPr>
      <w:color w:val="918585"/>
      <w:sz w:val="20"/>
    </w:rPr>
  </w:style>
  <w:style w:type="paragraph" w:styleId="Heading6">
    <w:name w:val="heading 6"/>
    <w:basedOn w:val="HeadingBase"/>
    <w:next w:val="Normal"/>
    <w:link w:val="Heading6Char"/>
    <w:qFormat/>
    <w:rsid w:val="001531D3"/>
    <w:pPr>
      <w:spacing w:before="60"/>
      <w:outlineLvl w:val="5"/>
    </w:pPr>
    <w:rPr>
      <w:color w:val="918585"/>
      <w:sz w:val="20"/>
    </w:rPr>
  </w:style>
  <w:style w:type="paragraph" w:styleId="Heading7">
    <w:name w:val="heading 7"/>
    <w:basedOn w:val="Normal"/>
    <w:next w:val="Normal"/>
    <w:link w:val="Heading7Char"/>
    <w:qFormat/>
    <w:rsid w:val="001531D3"/>
    <w:pPr>
      <w:ind w:left="720"/>
      <w:outlineLvl w:val="6"/>
    </w:pPr>
    <w:rPr>
      <w:i/>
    </w:rPr>
  </w:style>
  <w:style w:type="paragraph" w:styleId="Heading8">
    <w:name w:val="heading 8"/>
    <w:basedOn w:val="Normal"/>
    <w:next w:val="Normal"/>
    <w:link w:val="Heading8Char"/>
    <w:qFormat/>
    <w:rsid w:val="001531D3"/>
    <w:pPr>
      <w:ind w:left="720"/>
      <w:outlineLvl w:val="7"/>
    </w:pPr>
    <w:rPr>
      <w:i/>
    </w:rPr>
  </w:style>
  <w:style w:type="paragraph" w:styleId="Heading9">
    <w:name w:val="heading 9"/>
    <w:basedOn w:val="Normal"/>
    <w:next w:val="Normal"/>
    <w:link w:val="Heading9Char"/>
    <w:qFormat/>
    <w:rsid w:val="001531D3"/>
    <w:pPr>
      <w:ind w:left="720"/>
      <w:outlineLvl w:val="8"/>
    </w:pPr>
    <w:rPr>
      <w:i/>
    </w:rPr>
  </w:style>
  <w:style w:type="character" w:default="1" w:styleId="DefaultParagraphFont">
    <w:name w:val="Default Paragraph Font"/>
    <w:uiPriority w:val="1"/>
    <w:unhideWhenUsed/>
    <w:rsid w:val="00153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1D3"/>
  </w:style>
  <w:style w:type="character" w:customStyle="1" w:styleId="Heading1Char">
    <w:name w:val="Heading 1 Char"/>
    <w:basedOn w:val="DefaultParagraphFont"/>
    <w:link w:val="Heading1"/>
    <w:rsid w:val="001531D3"/>
    <w:rPr>
      <w:rFonts w:ascii="Times New Roman" w:eastAsia="Times New Roman" w:hAnsi="Times New Roman" w:cs="Times New Roman"/>
      <w:b/>
      <w:sz w:val="32"/>
      <w:szCs w:val="20"/>
      <w:lang w:eastAsia="en-US"/>
    </w:rPr>
  </w:style>
  <w:style w:type="paragraph" w:styleId="BodyText">
    <w:name w:val="Body Text"/>
    <w:basedOn w:val="Normal"/>
    <w:link w:val="BodyTextChar"/>
    <w:rsid w:val="00153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1D3"/>
    <w:rPr>
      <w:rFonts w:ascii="Times New Roman" w:eastAsia="Times New Roman" w:hAnsi="Times New Roman" w:cs="Times New Roman"/>
      <w:sz w:val="24"/>
      <w:lang w:eastAsia="en-US"/>
    </w:rPr>
  </w:style>
  <w:style w:type="paragraph" w:styleId="ListBullet">
    <w:name w:val="List Bullet"/>
    <w:basedOn w:val="List"/>
    <w:rsid w:val="001531D3"/>
    <w:pPr>
      <w:numPr>
        <w:numId w:val="12"/>
      </w:numPr>
      <w:tabs>
        <w:tab w:val="clear" w:pos="340"/>
      </w:tabs>
      <w:spacing w:before="40" w:after="40"/>
    </w:pPr>
  </w:style>
  <w:style w:type="character" w:customStyle="1" w:styleId="SpecialBold">
    <w:name w:val="Special Bold"/>
    <w:basedOn w:val="DefaultParagraphFont"/>
    <w:rsid w:val="001531D3"/>
    <w:rPr>
      <w:b/>
      <w:spacing w:val="0"/>
    </w:rPr>
  </w:style>
  <w:style w:type="paragraph" w:customStyle="1" w:styleId="SuperHeading">
    <w:name w:val="SuperHeading"/>
    <w:basedOn w:val="Normal"/>
    <w:rsid w:val="001531D3"/>
    <w:pPr>
      <w:spacing w:before="240" w:after="120"/>
      <w:outlineLvl w:val="0"/>
    </w:pPr>
    <w:rPr>
      <w:rFonts w:ascii="Times New Roman" w:hAnsi="Times New Roman"/>
      <w:b/>
      <w:sz w:val="32"/>
    </w:rPr>
  </w:style>
  <w:style w:type="paragraph" w:customStyle="1" w:styleId="AllowPageBreak">
    <w:name w:val="AllowPageBreak"/>
    <w:rsid w:val="00153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1D3"/>
    <w:rPr>
      <w:rFonts w:ascii="Courier New" w:eastAsia="Times New Roman" w:hAnsi="Courier New" w:cs="Times New Roman"/>
      <w:i/>
      <w:szCs w:val="20"/>
      <w:lang w:eastAsia="en-US"/>
    </w:rPr>
  </w:style>
  <w:style w:type="paragraph" w:customStyle="1" w:styleId="HeadingBase">
    <w:name w:val="Heading Base"/>
    <w:rsid w:val="00153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1D3"/>
    <w:pPr>
      <w:tabs>
        <w:tab w:val="right" w:leader="dot" w:pos="9072"/>
      </w:tabs>
      <w:ind w:left="567"/>
    </w:pPr>
    <w:rPr>
      <w:szCs w:val="22"/>
    </w:rPr>
  </w:style>
  <w:style w:type="paragraph" w:customStyle="1" w:styleId="TOCBase">
    <w:name w:val="TOC Base"/>
    <w:rsid w:val="00153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1D3"/>
    <w:pPr>
      <w:tabs>
        <w:tab w:val="right" w:leader="dot" w:pos="9072"/>
      </w:tabs>
      <w:spacing w:before="40" w:after="40"/>
      <w:ind w:left="284"/>
    </w:pPr>
    <w:rPr>
      <w:rFonts w:ascii="Times New Roman" w:hAnsi="Times New Roman"/>
    </w:rPr>
  </w:style>
  <w:style w:type="paragraph" w:styleId="TOC1">
    <w:name w:val="toc 1"/>
    <w:basedOn w:val="TOCBase"/>
    <w:next w:val="Normal"/>
    <w:rsid w:val="00153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1D3"/>
    <w:rPr>
      <w:rFonts w:ascii="Times New Roman" w:eastAsia="Times New Roman" w:hAnsi="Times New Roman" w:cs="Times New Roman"/>
      <w:sz w:val="16"/>
      <w:lang w:eastAsia="en-US"/>
    </w:rPr>
  </w:style>
  <w:style w:type="paragraph" w:styleId="Title">
    <w:name w:val="Title"/>
    <w:basedOn w:val="HeadingBase"/>
    <w:link w:val="TitleChar"/>
    <w:qFormat/>
    <w:rsid w:val="001531D3"/>
    <w:pPr>
      <w:spacing w:before="5040"/>
      <w:jc w:val="center"/>
    </w:pPr>
    <w:rPr>
      <w:sz w:val="48"/>
      <w:szCs w:val="72"/>
      <w:lang w:val="en-US"/>
    </w:rPr>
  </w:style>
  <w:style w:type="character" w:customStyle="1" w:styleId="TitleChar">
    <w:name w:val="Title Char"/>
    <w:basedOn w:val="DefaultParagraphFont"/>
    <w:link w:val="Title"/>
    <w:rsid w:val="00153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1D3"/>
    <w:pPr>
      <w:tabs>
        <w:tab w:val="left" w:pos="3600"/>
        <w:tab w:val="left" w:pos="3958"/>
      </w:tabs>
    </w:pPr>
  </w:style>
  <w:style w:type="paragraph" w:styleId="List">
    <w:name w:val="List"/>
    <w:basedOn w:val="BodyText"/>
    <w:next w:val="BodyText"/>
    <w:rsid w:val="001531D3"/>
    <w:pPr>
      <w:tabs>
        <w:tab w:val="left" w:pos="340"/>
      </w:tabs>
      <w:spacing w:before="60" w:after="60"/>
      <w:ind w:left="340" w:hanging="340"/>
    </w:pPr>
  </w:style>
  <w:style w:type="paragraph" w:customStyle="1" w:styleId="Note">
    <w:name w:val="Note"/>
    <w:basedOn w:val="BodyText"/>
    <w:rsid w:val="00153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1D3"/>
    <w:pPr>
      <w:framePr w:wrap="auto" w:hAnchor="text" w:y="6049"/>
    </w:pPr>
    <w:rPr>
      <w:color w:val="000000"/>
      <w:sz w:val="40"/>
    </w:rPr>
  </w:style>
  <w:style w:type="paragraph" w:customStyle="1" w:styleId="TOCTitle">
    <w:name w:val="TOCTitle"/>
    <w:basedOn w:val="Heading1"/>
    <w:rsid w:val="001531D3"/>
    <w:pPr>
      <w:spacing w:after="240"/>
      <w:jc w:val="center"/>
      <w:outlineLvl w:val="9"/>
    </w:pPr>
    <w:rPr>
      <w:caps/>
    </w:rPr>
  </w:style>
  <w:style w:type="paragraph" w:customStyle="1" w:styleId="Version">
    <w:name w:val="Version"/>
    <w:rsid w:val="00153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31D3"/>
    <w:pPr>
      <w:numPr>
        <w:numId w:val="13"/>
      </w:numPr>
      <w:tabs>
        <w:tab w:val="clear" w:pos="680"/>
      </w:tabs>
    </w:pPr>
  </w:style>
  <w:style w:type="paragraph" w:styleId="Index1">
    <w:name w:val="index 1"/>
    <w:basedOn w:val="Normal"/>
    <w:next w:val="Normal"/>
    <w:semiHidden/>
    <w:rsid w:val="001531D3"/>
    <w:pPr>
      <w:keepNext w:val="0"/>
      <w:tabs>
        <w:tab w:val="right" w:pos="4176"/>
      </w:tabs>
      <w:ind w:left="198" w:hanging="198"/>
    </w:pPr>
    <w:rPr>
      <w:rFonts w:ascii="Garamond" w:hAnsi="Garamond"/>
    </w:rPr>
  </w:style>
  <w:style w:type="paragraph" w:styleId="IndexHeading">
    <w:name w:val="index heading"/>
    <w:basedOn w:val="Normal"/>
    <w:next w:val="Index1"/>
    <w:semiHidden/>
    <w:rsid w:val="001531D3"/>
    <w:pPr>
      <w:spacing w:before="120" w:after="120"/>
    </w:pPr>
    <w:rPr>
      <w:rFonts w:ascii="Arial" w:hAnsi="Arial"/>
      <w:b/>
      <w:color w:val="918585"/>
      <w:sz w:val="24"/>
    </w:rPr>
  </w:style>
  <w:style w:type="paragraph" w:styleId="Header">
    <w:name w:val="header"/>
    <w:basedOn w:val="Normal"/>
    <w:link w:val="HeaderChar"/>
    <w:rsid w:val="00153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1D3"/>
    <w:rPr>
      <w:rFonts w:ascii="Times New Roman" w:eastAsia="Times New Roman" w:hAnsi="Times New Roman" w:cs="Times New Roman"/>
      <w:sz w:val="16"/>
      <w:szCs w:val="20"/>
      <w:lang w:val="en-GB" w:eastAsia="en-US"/>
    </w:rPr>
  </w:style>
  <w:style w:type="paragraph" w:customStyle="1" w:styleId="Chapter">
    <w:name w:val="Chapter"/>
    <w:basedOn w:val="Normal"/>
    <w:rsid w:val="001531D3"/>
    <w:pPr>
      <w:spacing w:before="240"/>
    </w:pPr>
    <w:rPr>
      <w:rFonts w:ascii="Times New Roman" w:hAnsi="Times New Roman"/>
      <w:smallCaps/>
      <w:spacing w:val="80"/>
      <w:sz w:val="28"/>
    </w:rPr>
  </w:style>
  <w:style w:type="paragraph" w:customStyle="1" w:styleId="InChapter">
    <w:name w:val="InChapter"/>
    <w:basedOn w:val="Heading3"/>
    <w:rsid w:val="001531D3"/>
    <w:pPr>
      <w:spacing w:after="240"/>
      <w:outlineLvl w:val="9"/>
    </w:pPr>
    <w:rPr>
      <w:noProof/>
    </w:rPr>
  </w:style>
  <w:style w:type="paragraph" w:styleId="Index2">
    <w:name w:val="index 2"/>
    <w:basedOn w:val="Normal"/>
    <w:next w:val="Normal"/>
    <w:semiHidden/>
    <w:rsid w:val="001531D3"/>
    <w:pPr>
      <w:tabs>
        <w:tab w:val="right" w:pos="4176"/>
      </w:tabs>
      <w:ind w:left="568" w:hanging="284"/>
    </w:pPr>
    <w:rPr>
      <w:rFonts w:ascii="Garamond" w:hAnsi="Garamond"/>
    </w:rPr>
  </w:style>
  <w:style w:type="paragraph" w:customStyle="1" w:styleId="Byline">
    <w:name w:val="Byline"/>
    <w:rsid w:val="00153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1D3"/>
    <w:pPr>
      <w:tabs>
        <w:tab w:val="clear" w:pos="3600"/>
        <w:tab w:val="clear" w:pos="3958"/>
      </w:tabs>
      <w:jc w:val="right"/>
    </w:pPr>
  </w:style>
  <w:style w:type="character" w:styleId="Emphasis">
    <w:name w:val="Emphasis"/>
    <w:basedOn w:val="DefaultParagraphFont"/>
    <w:qFormat/>
    <w:rsid w:val="001531D3"/>
    <w:rPr>
      <w:i/>
    </w:rPr>
  </w:style>
  <w:style w:type="paragraph" w:styleId="Caption">
    <w:name w:val="caption"/>
    <w:basedOn w:val="BodyText"/>
    <w:next w:val="Normal"/>
    <w:qFormat/>
    <w:rsid w:val="001531D3"/>
    <w:pPr>
      <w:framePr w:w="2268" w:hSpace="181" w:vSpace="181" w:wrap="around" w:vAnchor="text" w:hAnchor="page" w:x="1135" w:y="285" w:anchorLock="1"/>
    </w:pPr>
    <w:rPr>
      <w:i/>
    </w:rPr>
  </w:style>
  <w:style w:type="paragraph" w:customStyle="1" w:styleId="MiniTOCTitle">
    <w:name w:val="MiniTOCTitle"/>
    <w:basedOn w:val="Heading4"/>
    <w:rsid w:val="001531D3"/>
    <w:pPr>
      <w:spacing w:before="240"/>
      <w:outlineLvl w:val="9"/>
    </w:pPr>
    <w:rPr>
      <w:noProof/>
      <w:sz w:val="24"/>
    </w:rPr>
  </w:style>
  <w:style w:type="paragraph" w:customStyle="1" w:styleId="MiniTOCItem">
    <w:name w:val="MiniTOCItem"/>
    <w:basedOn w:val="ListBullet"/>
    <w:rsid w:val="001531D3"/>
    <w:pPr>
      <w:numPr>
        <w:numId w:val="0"/>
      </w:numPr>
      <w:tabs>
        <w:tab w:val="right" w:leader="dot" w:pos="6521"/>
      </w:tabs>
      <w:spacing w:before="0" w:after="0"/>
    </w:pPr>
  </w:style>
  <w:style w:type="paragraph" w:customStyle="1" w:styleId="TOFTitle">
    <w:name w:val="TOFTitle"/>
    <w:basedOn w:val="TOCTitle"/>
    <w:rsid w:val="001531D3"/>
  </w:style>
  <w:style w:type="paragraph" w:styleId="TableofFigures">
    <w:name w:val="table of figures"/>
    <w:basedOn w:val="Normal"/>
    <w:next w:val="Normal"/>
    <w:semiHidden/>
    <w:rsid w:val="001531D3"/>
    <w:pPr>
      <w:tabs>
        <w:tab w:val="right" w:leader="dot" w:pos="9072"/>
      </w:tabs>
      <w:ind w:left="970" w:hanging="403"/>
    </w:pPr>
    <w:rPr>
      <w:rFonts w:ascii="Times New Roman" w:hAnsi="Times New Roman"/>
      <w:b/>
    </w:rPr>
  </w:style>
  <w:style w:type="paragraph" w:styleId="ListNumber">
    <w:name w:val="List Number"/>
    <w:basedOn w:val="List"/>
    <w:rsid w:val="001531D3"/>
    <w:pPr>
      <w:numPr>
        <w:numId w:val="10"/>
      </w:numPr>
    </w:pPr>
  </w:style>
  <w:style w:type="character" w:customStyle="1" w:styleId="WingdingSymbols">
    <w:name w:val="Wingding Symbols"/>
    <w:rsid w:val="001531D3"/>
    <w:rPr>
      <w:rFonts w:ascii="Wingdings" w:hAnsi="Wingdings"/>
    </w:rPr>
  </w:style>
  <w:style w:type="paragraph" w:customStyle="1" w:styleId="TableHeading">
    <w:name w:val="Table Heading"/>
    <w:basedOn w:val="HeadingBase"/>
    <w:rsid w:val="001531D3"/>
    <w:pPr>
      <w:keepLines/>
      <w:pBdr>
        <w:bottom w:val="single" w:sz="6" w:space="1" w:color="918585"/>
      </w:pBdr>
      <w:spacing w:before="240"/>
    </w:pPr>
  </w:style>
  <w:style w:type="character" w:customStyle="1" w:styleId="HotSpot">
    <w:name w:val="HotSpot"/>
    <w:rsid w:val="001531D3"/>
    <w:rPr>
      <w:color w:val="0033CC"/>
      <w:u w:val="none"/>
    </w:rPr>
  </w:style>
  <w:style w:type="paragraph" w:customStyle="1" w:styleId="BodyTextRight">
    <w:name w:val="Body Text Right"/>
    <w:basedOn w:val="BodyText"/>
    <w:rsid w:val="001531D3"/>
    <w:pPr>
      <w:spacing w:before="0" w:after="0"/>
      <w:jc w:val="right"/>
    </w:pPr>
  </w:style>
  <w:style w:type="paragraph" w:styleId="Index3">
    <w:name w:val="index 3"/>
    <w:basedOn w:val="ListNumber2"/>
    <w:next w:val="Normal"/>
    <w:semiHidden/>
    <w:rsid w:val="001531D3"/>
    <w:pPr>
      <w:numPr>
        <w:numId w:val="0"/>
      </w:numPr>
      <w:tabs>
        <w:tab w:val="right" w:leader="dot" w:pos="4176"/>
      </w:tabs>
    </w:pPr>
  </w:style>
  <w:style w:type="paragraph" w:styleId="ListNumber2">
    <w:name w:val="List Number 2"/>
    <w:basedOn w:val="List2"/>
    <w:rsid w:val="001531D3"/>
    <w:pPr>
      <w:numPr>
        <w:numId w:val="9"/>
      </w:numPr>
      <w:tabs>
        <w:tab w:val="clear" w:pos="1060"/>
      </w:tabs>
    </w:pPr>
  </w:style>
  <w:style w:type="paragraph" w:customStyle="1" w:styleId="MarginNote">
    <w:name w:val="Margin Note"/>
    <w:basedOn w:val="BodyText"/>
    <w:rsid w:val="00153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1D3"/>
    <w:rPr>
      <w:sz w:val="32"/>
    </w:rPr>
  </w:style>
  <w:style w:type="paragraph" w:customStyle="1" w:styleId="HeadingProcedure">
    <w:name w:val="Heading Procedure"/>
    <w:basedOn w:val="HeadingBase"/>
    <w:next w:val="Normal"/>
    <w:rsid w:val="001531D3"/>
    <w:pPr>
      <w:tabs>
        <w:tab w:val="left" w:pos="0"/>
      </w:tabs>
      <w:spacing w:before="120" w:after="60"/>
    </w:pPr>
    <w:rPr>
      <w:i/>
      <w:color w:val="918585"/>
      <w:sz w:val="22"/>
    </w:rPr>
  </w:style>
  <w:style w:type="paragraph" w:customStyle="1" w:styleId="TableBodyText">
    <w:name w:val="Table Body Text"/>
    <w:basedOn w:val="BodyText"/>
    <w:rsid w:val="001531D3"/>
    <w:pPr>
      <w:spacing w:before="60" w:after="60"/>
    </w:pPr>
  </w:style>
  <w:style w:type="paragraph" w:styleId="ListContinue">
    <w:name w:val="List Continue"/>
    <w:basedOn w:val="List"/>
    <w:rsid w:val="001531D3"/>
    <w:pPr>
      <w:ind w:firstLine="0"/>
    </w:pPr>
  </w:style>
  <w:style w:type="paragraph" w:customStyle="1" w:styleId="ListNote">
    <w:name w:val="List Note"/>
    <w:basedOn w:val="List"/>
    <w:rsid w:val="001531D3"/>
    <w:pPr>
      <w:pBdr>
        <w:top w:val="single" w:sz="6" w:space="2" w:color="918585"/>
        <w:bottom w:val="single" w:sz="6" w:space="2" w:color="918585"/>
      </w:pBdr>
      <w:tabs>
        <w:tab w:val="left" w:pos="1021"/>
      </w:tabs>
      <w:ind w:firstLine="0"/>
    </w:pPr>
  </w:style>
  <w:style w:type="paragraph" w:customStyle="1" w:styleId="Warning">
    <w:name w:val="Warning"/>
    <w:basedOn w:val="BodyText"/>
    <w:rsid w:val="001531D3"/>
    <w:pPr>
      <w:shd w:val="clear" w:color="auto" w:fill="D9D9D9"/>
      <w:tabs>
        <w:tab w:val="left" w:pos="992"/>
      </w:tabs>
      <w:ind w:left="119" w:right="119"/>
    </w:pPr>
    <w:rPr>
      <w:sz w:val="20"/>
    </w:rPr>
  </w:style>
  <w:style w:type="paragraph" w:customStyle="1" w:styleId="MarginIcons">
    <w:name w:val="Margin Icons"/>
    <w:basedOn w:val="BodyText"/>
    <w:rsid w:val="00153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1D3"/>
    <w:rPr>
      <w:rFonts w:ascii="Courier New" w:hAnsi="Courier New"/>
    </w:rPr>
  </w:style>
  <w:style w:type="paragraph" w:customStyle="1" w:styleId="NoteBullet">
    <w:name w:val="Note Bullet"/>
    <w:basedOn w:val="Note"/>
    <w:rsid w:val="001531D3"/>
    <w:pPr>
      <w:tabs>
        <w:tab w:val="clear" w:pos="680"/>
      </w:tabs>
      <w:spacing w:before="60" w:after="60"/>
    </w:pPr>
  </w:style>
  <w:style w:type="paragraph" w:customStyle="1" w:styleId="SubHeading2">
    <w:name w:val="SubHeading2"/>
    <w:basedOn w:val="HeadingBase"/>
    <w:rsid w:val="001531D3"/>
    <w:pPr>
      <w:spacing w:before="240" w:after="60"/>
    </w:pPr>
    <w:rPr>
      <w:sz w:val="20"/>
    </w:rPr>
  </w:style>
  <w:style w:type="paragraph" w:customStyle="1" w:styleId="SubHeading1">
    <w:name w:val="SubHeading1"/>
    <w:basedOn w:val="HeadingBase"/>
    <w:rsid w:val="001531D3"/>
    <w:pPr>
      <w:spacing w:before="240" w:after="60"/>
    </w:pPr>
    <w:rPr>
      <w:color w:val="918585"/>
      <w:sz w:val="22"/>
    </w:rPr>
  </w:style>
  <w:style w:type="paragraph" w:customStyle="1" w:styleId="SideHeading">
    <w:name w:val="Side Heading"/>
    <w:basedOn w:val="HeadingBase"/>
    <w:rsid w:val="00153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1D3"/>
    <w:pPr>
      <w:tabs>
        <w:tab w:val="num" w:pos="360"/>
      </w:tabs>
    </w:pPr>
  </w:style>
  <w:style w:type="paragraph" w:styleId="PlainText">
    <w:name w:val="Plain Text"/>
    <w:basedOn w:val="Normal"/>
    <w:link w:val="PlainTextChar"/>
    <w:rsid w:val="001531D3"/>
    <w:rPr>
      <w:sz w:val="20"/>
    </w:rPr>
  </w:style>
  <w:style w:type="character" w:customStyle="1" w:styleId="PlainTextChar">
    <w:name w:val="Plain Text Char"/>
    <w:basedOn w:val="DefaultParagraphFont"/>
    <w:link w:val="PlainText"/>
    <w:rsid w:val="001531D3"/>
    <w:rPr>
      <w:rFonts w:ascii="Courier New" w:eastAsia="Times New Roman" w:hAnsi="Courier New" w:cs="Times New Roman"/>
      <w:sz w:val="20"/>
      <w:szCs w:val="20"/>
      <w:lang w:eastAsia="en-US"/>
    </w:rPr>
  </w:style>
  <w:style w:type="character" w:customStyle="1" w:styleId="MenuOption">
    <w:name w:val="Menu Option"/>
    <w:basedOn w:val="DefaultParagraphFont"/>
    <w:rsid w:val="001531D3"/>
    <w:rPr>
      <w:b/>
      <w:smallCaps/>
    </w:rPr>
  </w:style>
  <w:style w:type="paragraph" w:customStyle="1" w:styleId="TableListNumber">
    <w:name w:val="Table List Number"/>
    <w:basedOn w:val="ListNumber"/>
    <w:rsid w:val="001531D3"/>
    <w:pPr>
      <w:numPr>
        <w:numId w:val="0"/>
      </w:numPr>
    </w:pPr>
  </w:style>
  <w:style w:type="paragraph" w:styleId="TOC4">
    <w:name w:val="toc 4"/>
    <w:basedOn w:val="TOCBase"/>
    <w:next w:val="Normal"/>
    <w:semiHidden/>
    <w:rsid w:val="001531D3"/>
    <w:pPr>
      <w:tabs>
        <w:tab w:val="right" w:leader="dot" w:pos="9071"/>
      </w:tabs>
      <w:ind w:left="1701"/>
    </w:pPr>
  </w:style>
  <w:style w:type="paragraph" w:customStyle="1" w:styleId="ListAlpha">
    <w:name w:val="List Alpha"/>
    <w:basedOn w:val="List"/>
    <w:rsid w:val="001531D3"/>
    <w:pPr>
      <w:numPr>
        <w:numId w:val="8"/>
      </w:numPr>
    </w:pPr>
  </w:style>
  <w:style w:type="paragraph" w:customStyle="1" w:styleId="ListAlpha2">
    <w:name w:val="List Alpha 2"/>
    <w:basedOn w:val="List2"/>
    <w:rsid w:val="001531D3"/>
    <w:pPr>
      <w:numPr>
        <w:numId w:val="7"/>
      </w:numPr>
    </w:pPr>
  </w:style>
  <w:style w:type="paragraph" w:styleId="List2">
    <w:name w:val="List 2"/>
    <w:basedOn w:val="BodyText"/>
    <w:rsid w:val="001531D3"/>
    <w:pPr>
      <w:tabs>
        <w:tab w:val="left" w:pos="680"/>
      </w:tabs>
      <w:spacing w:before="60" w:after="60"/>
      <w:ind w:left="680" w:hanging="340"/>
    </w:pPr>
  </w:style>
  <w:style w:type="paragraph" w:styleId="List3">
    <w:name w:val="List 3"/>
    <w:basedOn w:val="BodyText"/>
    <w:rsid w:val="001531D3"/>
    <w:pPr>
      <w:tabs>
        <w:tab w:val="left" w:pos="1021"/>
      </w:tabs>
      <w:spacing w:before="60" w:after="60"/>
      <w:ind w:left="1020" w:hanging="340"/>
    </w:pPr>
  </w:style>
  <w:style w:type="paragraph" w:styleId="List4">
    <w:name w:val="List 4"/>
    <w:basedOn w:val="BodyText"/>
    <w:rsid w:val="001531D3"/>
    <w:pPr>
      <w:tabs>
        <w:tab w:val="left" w:pos="1361"/>
      </w:tabs>
      <w:spacing w:before="60" w:after="60"/>
      <w:ind w:left="1361" w:hanging="340"/>
    </w:pPr>
  </w:style>
  <w:style w:type="paragraph" w:styleId="List5">
    <w:name w:val="List 5"/>
    <w:basedOn w:val="BodyText"/>
    <w:rsid w:val="001531D3"/>
    <w:pPr>
      <w:tabs>
        <w:tab w:val="left" w:pos="1701"/>
      </w:tabs>
      <w:spacing w:before="60" w:after="60"/>
      <w:ind w:left="1701" w:hanging="340"/>
    </w:pPr>
  </w:style>
  <w:style w:type="paragraph" w:styleId="ListBullet3">
    <w:name w:val="List Bullet 3"/>
    <w:basedOn w:val="List3"/>
    <w:rsid w:val="001531D3"/>
    <w:pPr>
      <w:numPr>
        <w:numId w:val="14"/>
      </w:numPr>
      <w:tabs>
        <w:tab w:val="clear" w:pos="1021"/>
      </w:tabs>
      <w:ind w:left="1037" w:hanging="357"/>
    </w:pPr>
  </w:style>
  <w:style w:type="paragraph" w:styleId="ListBullet4">
    <w:name w:val="List Bullet 4"/>
    <w:basedOn w:val="List4"/>
    <w:rsid w:val="001531D3"/>
    <w:pPr>
      <w:numPr>
        <w:numId w:val="2"/>
      </w:numPr>
      <w:tabs>
        <w:tab w:val="clear" w:pos="1361"/>
      </w:tabs>
    </w:pPr>
  </w:style>
  <w:style w:type="paragraph" w:styleId="ListBullet5">
    <w:name w:val="List Bullet 5"/>
    <w:basedOn w:val="List5"/>
    <w:rsid w:val="001531D3"/>
    <w:pPr>
      <w:numPr>
        <w:numId w:val="3"/>
      </w:numPr>
    </w:pPr>
  </w:style>
  <w:style w:type="paragraph" w:styleId="ListContinue2">
    <w:name w:val="List Continue 2"/>
    <w:basedOn w:val="List2"/>
    <w:rsid w:val="001531D3"/>
    <w:pPr>
      <w:ind w:firstLine="0"/>
    </w:pPr>
  </w:style>
  <w:style w:type="paragraph" w:styleId="ListContinue3">
    <w:name w:val="List Continue 3"/>
    <w:basedOn w:val="List3"/>
    <w:rsid w:val="001531D3"/>
    <w:pPr>
      <w:ind w:left="1021" w:firstLine="0"/>
    </w:pPr>
  </w:style>
  <w:style w:type="paragraph" w:styleId="ListContinue4">
    <w:name w:val="List Continue 4"/>
    <w:basedOn w:val="List4"/>
    <w:rsid w:val="001531D3"/>
    <w:pPr>
      <w:ind w:firstLine="0"/>
    </w:pPr>
  </w:style>
  <w:style w:type="paragraph" w:styleId="ListContinue5">
    <w:name w:val="List Continue 5"/>
    <w:basedOn w:val="List5"/>
    <w:rsid w:val="001531D3"/>
    <w:pPr>
      <w:ind w:firstLine="0"/>
    </w:pPr>
  </w:style>
  <w:style w:type="paragraph" w:styleId="ListNumber3">
    <w:name w:val="List Number 3"/>
    <w:basedOn w:val="List3"/>
    <w:rsid w:val="001531D3"/>
    <w:pPr>
      <w:numPr>
        <w:numId w:val="4"/>
      </w:numPr>
    </w:pPr>
  </w:style>
  <w:style w:type="paragraph" w:styleId="ListNumber4">
    <w:name w:val="List Number 4"/>
    <w:basedOn w:val="List4"/>
    <w:rsid w:val="001531D3"/>
    <w:pPr>
      <w:numPr>
        <w:numId w:val="5"/>
      </w:numPr>
    </w:pPr>
  </w:style>
  <w:style w:type="paragraph" w:styleId="ListNumber5">
    <w:name w:val="List Number 5"/>
    <w:basedOn w:val="List5"/>
    <w:rsid w:val="001531D3"/>
    <w:pPr>
      <w:numPr>
        <w:numId w:val="6"/>
      </w:numPr>
    </w:pPr>
  </w:style>
  <w:style w:type="paragraph" w:styleId="BlockText">
    <w:name w:val="Block Text"/>
    <w:basedOn w:val="Normal"/>
    <w:rsid w:val="001531D3"/>
    <w:pPr>
      <w:spacing w:after="120"/>
      <w:ind w:left="1440" w:right="1440"/>
    </w:pPr>
  </w:style>
  <w:style w:type="character" w:customStyle="1" w:styleId="Subscript">
    <w:name w:val="Subscript"/>
    <w:basedOn w:val="DefaultParagraphFont"/>
    <w:rsid w:val="001531D3"/>
    <w:rPr>
      <w:sz w:val="16"/>
      <w:vertAlign w:val="subscript"/>
    </w:rPr>
  </w:style>
  <w:style w:type="character" w:customStyle="1" w:styleId="Superscript">
    <w:name w:val="Superscript"/>
    <w:basedOn w:val="DefaultParagraphFont"/>
    <w:rsid w:val="001531D3"/>
    <w:rPr>
      <w:sz w:val="16"/>
      <w:vertAlign w:val="superscript"/>
    </w:rPr>
  </w:style>
  <w:style w:type="character" w:customStyle="1" w:styleId="Symbols">
    <w:name w:val="Symbols"/>
    <w:basedOn w:val="DefaultParagraphFont"/>
    <w:rsid w:val="001531D3"/>
    <w:rPr>
      <w:rFonts w:ascii="Symbol" w:hAnsi="Symbol"/>
    </w:rPr>
  </w:style>
  <w:style w:type="character" w:customStyle="1" w:styleId="MenuOptions">
    <w:name w:val="Menu Options"/>
    <w:basedOn w:val="DefaultParagraphFont"/>
    <w:rsid w:val="001531D3"/>
    <w:rPr>
      <w:rFonts w:ascii="Arial Narrow" w:hAnsi="Arial Narrow"/>
      <w:smallCaps/>
    </w:rPr>
  </w:style>
  <w:style w:type="character" w:customStyle="1" w:styleId="Buttons">
    <w:name w:val="Buttons"/>
    <w:basedOn w:val="DefaultParagraphFont"/>
    <w:rsid w:val="001531D3"/>
    <w:rPr>
      <w:b/>
    </w:rPr>
  </w:style>
  <w:style w:type="character" w:customStyle="1" w:styleId="Underlined">
    <w:name w:val="Underlined"/>
    <w:basedOn w:val="DefaultParagraphFont"/>
    <w:rsid w:val="001531D3"/>
    <w:rPr>
      <w:u w:val="single"/>
    </w:rPr>
  </w:style>
  <w:style w:type="paragraph" w:customStyle="1" w:styleId="TableBodyTextRight">
    <w:name w:val="Table Body Text Right"/>
    <w:basedOn w:val="TableBodyText"/>
    <w:rsid w:val="001531D3"/>
    <w:pPr>
      <w:widowControl w:val="0"/>
      <w:autoSpaceDE w:val="0"/>
      <w:autoSpaceDN w:val="0"/>
      <w:adjustRightInd w:val="0"/>
      <w:jc w:val="right"/>
    </w:pPr>
    <w:rPr>
      <w:rFonts w:cs="Arial"/>
      <w:szCs w:val="18"/>
    </w:rPr>
  </w:style>
  <w:style w:type="paragraph" w:customStyle="1" w:styleId="CopyrightText">
    <w:name w:val="Copyright Text"/>
    <w:basedOn w:val="BodyText"/>
    <w:rsid w:val="001531D3"/>
    <w:rPr>
      <w:sz w:val="18"/>
    </w:rPr>
  </w:style>
  <w:style w:type="paragraph" w:customStyle="1" w:styleId="BodySmallRight">
    <w:name w:val="Body Small Right"/>
    <w:basedOn w:val="BodyTextRight"/>
    <w:rsid w:val="001531D3"/>
    <w:rPr>
      <w:sz w:val="18"/>
      <w:szCs w:val="18"/>
    </w:rPr>
  </w:style>
  <w:style w:type="paragraph" w:customStyle="1" w:styleId="MarginEdition">
    <w:name w:val="Margin Edition"/>
    <w:basedOn w:val="MarginNote"/>
    <w:rsid w:val="001531D3"/>
    <w:pPr>
      <w:spacing w:before="0" w:after="0"/>
    </w:pPr>
    <w:rPr>
      <w:rFonts w:ascii="Times New Roman" w:hAnsi="Times New Roman"/>
      <w:color w:val="999999"/>
    </w:rPr>
  </w:style>
  <w:style w:type="paragraph" w:customStyle="1" w:styleId="Spacer">
    <w:name w:val="Spacer"/>
    <w:basedOn w:val="Normal"/>
    <w:rsid w:val="001531D3"/>
    <w:rPr>
      <w:sz w:val="2"/>
      <w:szCs w:val="2"/>
    </w:rPr>
  </w:style>
  <w:style w:type="character" w:customStyle="1" w:styleId="Small">
    <w:name w:val="Small"/>
    <w:basedOn w:val="DefaultParagraphFont"/>
    <w:rsid w:val="001531D3"/>
    <w:rPr>
      <w:sz w:val="16"/>
    </w:rPr>
  </w:style>
  <w:style w:type="paragraph" w:customStyle="1" w:styleId="WideTable">
    <w:name w:val="Wide Table"/>
    <w:basedOn w:val="Normal"/>
    <w:rsid w:val="001531D3"/>
    <w:pPr>
      <w:ind w:left="-1418"/>
    </w:pPr>
    <w:rPr>
      <w:sz w:val="2"/>
      <w:szCs w:val="2"/>
    </w:rPr>
  </w:style>
  <w:style w:type="character" w:styleId="PageNumber">
    <w:name w:val="page number"/>
    <w:basedOn w:val="DefaultParagraphFont"/>
    <w:rsid w:val="001531D3"/>
  </w:style>
  <w:style w:type="paragraph" w:styleId="Quote">
    <w:name w:val="Quote"/>
    <w:basedOn w:val="Heading1"/>
    <w:link w:val="QuoteChar"/>
    <w:qFormat/>
    <w:rsid w:val="001531D3"/>
    <w:rPr>
      <w:b w:val="0"/>
      <w:sz w:val="72"/>
      <w:szCs w:val="72"/>
      <w:lang w:val="en-NZ"/>
    </w:rPr>
  </w:style>
  <w:style w:type="character" w:customStyle="1" w:styleId="QuoteChar">
    <w:name w:val="Quote Char"/>
    <w:basedOn w:val="DefaultParagraphFont"/>
    <w:link w:val="Quote"/>
    <w:rsid w:val="00153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1D3"/>
    <w:pPr>
      <w:pageBreakBefore/>
    </w:pPr>
  </w:style>
  <w:style w:type="paragraph" w:customStyle="1" w:styleId="Border">
    <w:name w:val="Border"/>
    <w:basedOn w:val="Normal"/>
    <w:qFormat/>
    <w:rsid w:val="00153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1D3"/>
    <w:rPr>
      <w:b/>
      <w:bCs/>
      <w:i/>
      <w:iCs/>
      <w:color w:val="auto"/>
    </w:rPr>
  </w:style>
  <w:style w:type="paragraph" w:styleId="IntenseQuote">
    <w:name w:val="Intense Quote"/>
    <w:basedOn w:val="Normal"/>
    <w:next w:val="Normal"/>
    <w:link w:val="IntenseQuoteChar"/>
    <w:uiPriority w:val="30"/>
    <w:qFormat/>
    <w:rsid w:val="00153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1D3"/>
    <w:rPr>
      <w:smallCaps/>
      <w:color w:val="auto"/>
      <w:u w:val="single"/>
    </w:rPr>
  </w:style>
  <w:style w:type="character" w:styleId="IntenseReference">
    <w:name w:val="Intense Reference"/>
    <w:basedOn w:val="DefaultParagraphFont"/>
    <w:uiPriority w:val="32"/>
    <w:qFormat/>
    <w:rsid w:val="001531D3"/>
    <w:rPr>
      <w:b/>
      <w:bCs/>
      <w:smallCaps/>
      <w:color w:val="auto"/>
      <w:spacing w:val="5"/>
      <w:u w:val="single"/>
    </w:rPr>
  </w:style>
  <w:style w:type="paragraph" w:customStyle="1" w:styleId="2ColumnHeading">
    <w:name w:val="2Column Heading"/>
    <w:basedOn w:val="BodyText"/>
    <w:qFormat/>
    <w:rsid w:val="001531D3"/>
    <w:pPr>
      <w:spacing w:after="60"/>
      <w:ind w:left="-2268"/>
    </w:pPr>
    <w:rPr>
      <w:b/>
    </w:rPr>
  </w:style>
  <w:style w:type="paragraph" w:customStyle="1" w:styleId="Heading1TOC">
    <w:name w:val="Heading1 TOC"/>
    <w:basedOn w:val="Normal"/>
    <w:qFormat/>
    <w:rsid w:val="001531D3"/>
    <w:pPr>
      <w:spacing w:before="240" w:after="120"/>
    </w:pPr>
    <w:rPr>
      <w:rFonts w:ascii="Times New Roman" w:hAnsi="Times New Roman"/>
      <w:b/>
      <w:sz w:val="32"/>
    </w:rPr>
  </w:style>
  <w:style w:type="paragraph" w:customStyle="1" w:styleId="Heading2TOC">
    <w:name w:val="Heading2 TOC"/>
    <w:basedOn w:val="Normal"/>
    <w:qFormat/>
    <w:rsid w:val="001531D3"/>
    <w:pPr>
      <w:spacing w:before="240" w:after="60"/>
    </w:pPr>
    <w:rPr>
      <w:rFonts w:ascii="Times New Roman" w:hAnsi="Times New Roman"/>
      <w:b/>
      <w:sz w:val="28"/>
    </w:rPr>
  </w:style>
  <w:style w:type="character" w:customStyle="1" w:styleId="Underline">
    <w:name w:val="Underline"/>
    <w:basedOn w:val="DefaultParagraphFont"/>
    <w:qFormat/>
    <w:rsid w:val="001531D3"/>
    <w:rPr>
      <w:u w:val="single"/>
    </w:rPr>
  </w:style>
  <w:style w:type="character" w:customStyle="1" w:styleId="BoldandItalics">
    <w:name w:val="Bold and Italics"/>
    <w:qFormat/>
    <w:rsid w:val="001531D3"/>
    <w:rPr>
      <w:b/>
      <w:i/>
      <w:u w:val="none"/>
    </w:rPr>
  </w:style>
  <w:style w:type="paragraph" w:styleId="BalloonText">
    <w:name w:val="Balloon Text"/>
    <w:basedOn w:val="Normal"/>
    <w:link w:val="BalloonTextChar"/>
    <w:rsid w:val="001531D3"/>
    <w:rPr>
      <w:rFonts w:ascii="Tahoma" w:hAnsi="Tahoma" w:cs="Tahoma"/>
      <w:sz w:val="16"/>
      <w:szCs w:val="16"/>
    </w:rPr>
  </w:style>
  <w:style w:type="character" w:customStyle="1" w:styleId="BalloonTextChar">
    <w:name w:val="Balloon Text Char"/>
    <w:basedOn w:val="DefaultParagraphFont"/>
    <w:link w:val="BalloonText"/>
    <w:rsid w:val="00153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1D3"/>
    <w:rPr>
      <w:b/>
      <w:color w:val="660033"/>
      <w:spacing w:val="0"/>
    </w:rPr>
  </w:style>
  <w:style w:type="paragraph" w:customStyle="1" w:styleId="Nameditemlist">
    <w:name w:val="Named item list"/>
    <w:basedOn w:val="BodyText"/>
    <w:qFormat/>
    <w:rsid w:val="001531D3"/>
    <w:pPr>
      <w:tabs>
        <w:tab w:val="left" w:pos="2835"/>
      </w:tabs>
      <w:ind w:left="2835" w:hanging="2835"/>
    </w:pPr>
  </w:style>
  <w:style w:type="paragraph" w:customStyle="1" w:styleId="BodyTextnopadding">
    <w:name w:val="Body Text no padding"/>
    <w:basedOn w:val="BodyText"/>
    <w:qFormat/>
    <w:rsid w:val="001531D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1293</Words>
  <Characters>8452</Characters>
  <Application>Microsoft Office Word</Application>
  <DocSecurity>0</DocSecurity>
  <Lines>345</Lines>
  <Paragraphs>144</Paragraphs>
  <ScaleCrop>false</ScaleCrop>
  <Company>Author-it Software Corporation Ltd.</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MSL975001 Perform microbiological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2018-02-01T00:36:00Z</dcterms:created>
  <dcterms:modified xsi:type="dcterms:W3CDTF">2018-02-01T00:36:00Z</dcterms:modified>
</cp:coreProperties>
</file>