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247" w:rsidP="00A94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MSL975001 Perform microbiological tests</w:t>
      </w:r>
      <w:r>
        <w:fldChar w:fldCharType="end"/>
      </w:r>
    </w:p>
    <w:p w:rsidR="00A94247" w:rsidP="00A94247">
      <w:pPr>
        <w:pStyle w:val="Version"/>
        <w:sectPr w:rsidSect="00FD3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C3A" w:rsidP="00FD3C3A">
      <w:pPr>
        <w:pStyle w:val="SuperHeading"/>
      </w:pPr>
      <w:r w:rsidRPr="00FD3C3A">
        <w:t>Assessment Requirements for MSL975001 Perform microbiological tests</w:t>
      </w:r>
    </w:p>
    <w:p w:rsidR="00000000" w:rsidRPr="00FD3C3A" w:rsidP="00FD3C3A">
      <w:pPr>
        <w:pStyle w:val="Heading1"/>
      </w:pPr>
      <w:bookmarkStart w:id="1" w:name="O_900643"/>
      <w:bookmarkEnd w:id="1"/>
      <w:r w:rsidRPr="00FD3C3A">
        <w:t>Modification History</w:t>
      </w:r>
    </w:p>
    <w:p w:rsidR="00000000" w:rsidRPr="00FD3C3A" w:rsidP="00FD3C3A">
      <w:pPr>
        <w:pStyle w:val="BodyText"/>
      </w:pPr>
      <w:r w:rsidRPr="00FD3C3A">
        <w:t>Release 1. Supersedes and is equivalent to MSL975001A Perform microbiological tests</w:t>
      </w:r>
    </w:p>
    <w:p w:rsidR="00000000" w:rsidRPr="00FD3C3A" w:rsidP="00FD3C3A">
      <w:pPr>
        <w:pStyle w:val="AllowPageBreak"/>
      </w:pPr>
    </w:p>
    <w:p w:rsidR="00000000" w:rsidRPr="00FD3C3A" w:rsidP="00FD3C3A">
      <w:pPr>
        <w:pStyle w:val="Heading1"/>
      </w:pPr>
      <w:bookmarkStart w:id="2" w:name="O_900646"/>
      <w:bookmarkEnd w:id="2"/>
      <w:r w:rsidRPr="00FD3C3A">
        <w:t>Performance Evidence</w:t>
      </w:r>
    </w:p>
    <w:p w:rsidR="00000000" w:rsidRPr="00FD3C3A" w:rsidP="00FD3C3A">
      <w:pPr>
        <w:pStyle w:val="BodyText"/>
      </w:pPr>
      <w:r w:rsidRPr="00FD3C3A">
        <w:t>Evidence of competence in this unit must satisfy all of the requirements of the elements and performance criteria, and include demonstration of:</w:t>
      </w:r>
    </w:p>
    <w:p w:rsidR="00000000" w:rsidRPr="00FD3C3A" w:rsidP="00FD3C3A">
      <w:pPr>
        <w:pStyle w:val="ListBullet"/>
      </w:pPr>
      <w:r w:rsidRPr="00FD3C3A">
        <w:t>safely performing at least five (5) microbiological tests/procedures for the culturing, isolating, identifying</w:t>
      </w:r>
      <w:r w:rsidRPr="00FD3C3A">
        <w:t xml:space="preserve"> and counting microorganisms</w:t>
      </w:r>
    </w:p>
    <w:p w:rsidR="00000000" w:rsidRPr="00FD3C3A" w:rsidP="00FD3C3A">
      <w:pPr>
        <w:pStyle w:val="ListBullet"/>
      </w:pPr>
      <w:r w:rsidRPr="00FD3C3A">
        <w:t xml:space="preserve">consistently and accurately describing different bacterial colony forms on common media </w:t>
      </w:r>
    </w:p>
    <w:p w:rsidR="00000000" w:rsidRPr="00FD3C3A" w:rsidP="00FD3C3A">
      <w:pPr>
        <w:pStyle w:val="ListBullet"/>
      </w:pPr>
      <w:r w:rsidRPr="00FD3C3A">
        <w:t>preparing and staining thin smears and preparing liquid films</w:t>
      </w:r>
    </w:p>
    <w:p w:rsidR="00000000" w:rsidRPr="00FD3C3A" w:rsidP="00FD3C3A">
      <w:pPr>
        <w:pStyle w:val="ListBullet"/>
      </w:pPr>
      <w:r w:rsidRPr="00FD3C3A">
        <w:t>estimating the number and size of microorganisms in samples</w:t>
      </w:r>
    </w:p>
    <w:p w:rsidR="00000000" w:rsidRPr="00FD3C3A" w:rsidP="00FD3C3A">
      <w:pPr>
        <w:pStyle w:val="ListBullet"/>
      </w:pPr>
      <w:r w:rsidRPr="00FD3C3A">
        <w:t>selecting, inocu</w:t>
      </w:r>
      <w:r w:rsidRPr="00FD3C3A">
        <w:t>lating and incubating culture media</w:t>
      </w:r>
    </w:p>
    <w:p w:rsidR="00000000" w:rsidRPr="00FD3C3A" w:rsidP="00FD3C3A">
      <w:pPr>
        <w:pStyle w:val="ListBullet"/>
      </w:pPr>
      <w:r w:rsidRPr="00FD3C3A">
        <w:t>performing biochemical and immunological identification tests on pure cultures to assist in the of microorganisms</w:t>
      </w:r>
    </w:p>
    <w:p w:rsidR="00000000" w:rsidRPr="00FD3C3A" w:rsidP="00FD3C3A">
      <w:pPr>
        <w:pStyle w:val="ListBullet"/>
      </w:pPr>
      <w:r w:rsidRPr="00FD3C3A">
        <w:t>not contaminating self, other people, the work area, equipment or the samples or materials under test</w:t>
      </w:r>
    </w:p>
    <w:p w:rsidR="00000000" w:rsidRPr="00FD3C3A" w:rsidP="00FD3C3A">
      <w:pPr>
        <w:pStyle w:val="ListBullet"/>
      </w:pPr>
      <w:r w:rsidRPr="00FD3C3A">
        <w:t xml:space="preserve">not </w:t>
      </w:r>
      <w:r w:rsidRPr="00FD3C3A">
        <w:t>contaminating media or reagents during manipulations involving the transfer of cultures</w:t>
      </w:r>
    </w:p>
    <w:p w:rsidR="00000000" w:rsidRPr="00FD3C3A" w:rsidP="00FD3C3A">
      <w:pPr>
        <w:pStyle w:val="ListBullet"/>
      </w:pPr>
      <w:r w:rsidRPr="00FD3C3A">
        <w:t>identifying artefacts or image aberrations attributable to misalignment or obstruction of light paths or condensers used in microscopy, or with other steps in microscop</w:t>
      </w:r>
      <w:r w:rsidRPr="00FD3C3A">
        <w:t>ic examinations</w:t>
      </w:r>
    </w:p>
    <w:p w:rsidR="00000000" w:rsidRPr="00FD3C3A" w:rsidP="00FD3C3A">
      <w:pPr>
        <w:pStyle w:val="ListBullet"/>
      </w:pPr>
      <w:r w:rsidRPr="00FD3C3A">
        <w:t xml:space="preserve">consistently and accurately performing Gram staining of bacteria </w:t>
      </w:r>
    </w:p>
    <w:p w:rsidR="00000000" w:rsidRPr="00FD3C3A" w:rsidP="00FD3C3A">
      <w:pPr>
        <w:pStyle w:val="ListBullet"/>
      </w:pPr>
      <w:r w:rsidRPr="00FD3C3A">
        <w:t>accurately and concisely preparing data and documentation that is in accordance with workplace requirements</w:t>
      </w:r>
    </w:p>
    <w:p w:rsidR="00000000" w:rsidRPr="00FD3C3A" w:rsidP="00FD3C3A">
      <w:pPr>
        <w:pStyle w:val="ListBullet"/>
      </w:pPr>
      <w:r w:rsidRPr="00FD3C3A">
        <w:t>reporting all incidents or accidents</w:t>
      </w:r>
    </w:p>
    <w:p w:rsidR="00000000" w:rsidRPr="00FD3C3A" w:rsidP="00FD3C3A">
      <w:pPr>
        <w:pStyle w:val="ListBullet"/>
      </w:pPr>
      <w:r w:rsidRPr="00FD3C3A">
        <w:t>disinfecting any spillages an</w:t>
      </w:r>
      <w:r w:rsidRPr="00FD3C3A">
        <w:t>d safely disposing of all contaminated materials</w:t>
      </w:r>
    </w:p>
    <w:p w:rsidR="00000000" w:rsidRPr="00FD3C3A" w:rsidP="00FD3C3A">
      <w:pPr>
        <w:pStyle w:val="ListBullet"/>
      </w:pPr>
      <w:r w:rsidRPr="00FD3C3A">
        <w:t>decontaminating the work area upon completion of work.</w:t>
      </w:r>
    </w:p>
    <w:p w:rsidR="00000000" w:rsidRPr="00FD3C3A" w:rsidP="00FD3C3A">
      <w:pPr>
        <w:pStyle w:val="AllowPageBreak"/>
      </w:pPr>
    </w:p>
    <w:p w:rsidR="00000000" w:rsidRPr="00FD3C3A" w:rsidP="00FD3C3A">
      <w:pPr>
        <w:pStyle w:val="Heading1"/>
      </w:pPr>
      <w:bookmarkStart w:id="3" w:name="O_900645"/>
      <w:bookmarkEnd w:id="3"/>
      <w:r w:rsidRPr="00FD3C3A">
        <w:t>Knowledge Evidence</w:t>
      </w:r>
    </w:p>
    <w:p w:rsidR="00000000" w:rsidRPr="00FD3C3A" w:rsidP="00FD3C3A">
      <w:pPr>
        <w:pStyle w:val="BodyText"/>
      </w:pPr>
      <w:r w:rsidRPr="00FD3C3A">
        <w:t>Must provide evidence that demonstrates knowledge of:</w:t>
      </w:r>
    </w:p>
    <w:p w:rsidR="00000000" w:rsidRPr="00FD3C3A" w:rsidP="00FD3C3A">
      <w:pPr>
        <w:pStyle w:val="ListBullet"/>
      </w:pPr>
      <w:r w:rsidRPr="00FD3C3A">
        <w:t>microbiological terminology, including bacteriology, parasitology, virology and mycology</w:t>
      </w:r>
    </w:p>
    <w:p w:rsidR="00000000" w:rsidRPr="00FD3C3A" w:rsidP="00FD3C3A">
      <w:pPr>
        <w:pStyle w:val="ListBullet"/>
      </w:pPr>
      <w:r w:rsidRPr="00FD3C3A">
        <w:t>disinfection and sterilisation as applied to practical aspects of microbiology</w:t>
      </w:r>
    </w:p>
    <w:p w:rsidR="00000000" w:rsidRPr="00FD3C3A" w:rsidP="00FD3C3A">
      <w:pPr>
        <w:pStyle w:val="ListBullet"/>
      </w:pPr>
      <w:r w:rsidRPr="00FD3C3A">
        <w:t>microbial diversity</w:t>
      </w:r>
    </w:p>
    <w:p w:rsidR="00000000" w:rsidRPr="00FD3C3A" w:rsidP="00FD3C3A">
      <w:pPr>
        <w:pStyle w:val="ListBullet"/>
      </w:pPr>
      <w:r w:rsidRPr="00FD3C3A">
        <w:t>microorganisms of importance in medicine, in production of foods and</w:t>
      </w:r>
      <w:r w:rsidRPr="00FD3C3A">
        <w:t xml:space="preserve"> other manufactured goods, and in assessment of the natural environment</w:t>
      </w:r>
    </w:p>
    <w:p w:rsidR="00000000" w:rsidRPr="00FD3C3A" w:rsidP="00FD3C3A">
      <w:pPr>
        <w:pStyle w:val="ListBullet"/>
      </w:pPr>
      <w:r w:rsidRPr="00FD3C3A">
        <w:t>cell biology and chemistry related to laboratory phenomena, such as growth and isolation of organisms for identification</w:t>
      </w:r>
    </w:p>
    <w:p w:rsidR="00000000" w:rsidRPr="00FD3C3A" w:rsidP="00FD3C3A">
      <w:pPr>
        <w:pStyle w:val="ListBullet"/>
      </w:pPr>
      <w:r w:rsidRPr="00FD3C3A">
        <w:t>microbial genetics</w:t>
      </w:r>
    </w:p>
    <w:p w:rsidR="00000000" w:rsidRPr="00FD3C3A" w:rsidP="00FD3C3A">
      <w:pPr>
        <w:pStyle w:val="ListBullet"/>
      </w:pPr>
      <w:r w:rsidRPr="00FD3C3A">
        <w:t>rationale for sample dilution when preparing</w:t>
      </w:r>
      <w:r w:rsidRPr="00FD3C3A">
        <w:t xml:space="preserve"> materials for enumerating organisms and other pure culture work (e.g. Most Probable Number (MPN) technique)</w:t>
      </w:r>
    </w:p>
    <w:p w:rsidR="00000000" w:rsidRPr="00FD3C3A" w:rsidP="00FD3C3A">
      <w:pPr>
        <w:pStyle w:val="ListBullet"/>
      </w:pPr>
      <w:r w:rsidRPr="00FD3C3A">
        <w:t>need for accurate identification of sample source (e.g. body, specimen, process line and field location)</w:t>
      </w:r>
    </w:p>
    <w:p w:rsidR="00000000" w:rsidRPr="00FD3C3A" w:rsidP="00FD3C3A">
      <w:pPr>
        <w:pStyle w:val="ListBullet"/>
      </w:pPr>
      <w:r w:rsidRPr="00FD3C3A">
        <w:t>relevant hazards, work health and safety (</w:t>
      </w:r>
      <w:r w:rsidRPr="00FD3C3A">
        <w:t>WHS) and environment requirements.</w:t>
      </w:r>
    </w:p>
    <w:p w:rsidR="00000000" w:rsidRPr="00FD3C3A" w:rsidP="00FD3C3A">
      <w:pPr>
        <w:pStyle w:val="AllowPageBreak"/>
      </w:pPr>
    </w:p>
    <w:p w:rsidR="00000000" w:rsidRPr="00FD3C3A" w:rsidP="00FD3C3A">
      <w:pPr>
        <w:pStyle w:val="Heading1"/>
      </w:pPr>
      <w:bookmarkStart w:id="4" w:name="O_900644"/>
      <w:bookmarkEnd w:id="4"/>
      <w:r w:rsidRPr="00FD3C3A">
        <w:t>Assessment Conditions</w:t>
      </w:r>
    </w:p>
    <w:p w:rsidR="00000000" w:rsidRPr="00FD3C3A" w:rsidP="00FD3C3A">
      <w:pPr>
        <w:pStyle w:val="ListBullet"/>
      </w:pPr>
      <w:r w:rsidRPr="00FD3C3A">
        <w:t>Judgment of competence must be based on holistic assessment of the evidence. Assessment methods must confirm consistency of performance over time, rather than a single assessment ev</w:t>
      </w:r>
      <w:r w:rsidRPr="00FD3C3A">
        <w:t xml:space="preserve">ent. </w:t>
      </w:r>
    </w:p>
    <w:p w:rsidR="00000000" w:rsidRPr="00FD3C3A" w:rsidP="00FD3C3A">
      <w:pPr>
        <w:pStyle w:val="ListBullet"/>
      </w:pPr>
      <w:r w:rsidRPr="00FD3C3A">
        <w:t xml:space="preserve">This unit of competency is to be assessed in the workplace or a simulated workplace environment. A simulated workplace environment must reflect realistic operational workplace conditions that cover all aspects of workplace performance, including the </w:t>
      </w:r>
      <w:r w:rsidRPr="00FD3C3A">
        <w:t>environment, task skills, task management skills, contingency management skills and job role environment skills.</w:t>
      </w:r>
    </w:p>
    <w:p w:rsidR="00000000" w:rsidRPr="00FD3C3A" w:rsidP="00FD3C3A">
      <w:pPr>
        <w:pStyle w:val="ListBullet"/>
      </w:pPr>
      <w:r w:rsidRPr="00FD3C3A">
        <w:t xml:space="preserve">Foundation skills are integral to competent performance of the unit and should not be assessed separately. </w:t>
      </w:r>
    </w:p>
    <w:p w:rsidR="00000000" w:rsidRPr="00FD3C3A" w:rsidP="00FD3C3A">
      <w:pPr>
        <w:pStyle w:val="ListBullet"/>
      </w:pPr>
      <w:r w:rsidRPr="00FD3C3A">
        <w:t>Assessment processes and techniques</w:t>
      </w:r>
      <w:r w:rsidRPr="00FD3C3A">
        <w:t xml:space="preserve"> must be appropriate to the language, literacy and numeracy requirements of the work being performed and the needs of the candidate.</w:t>
      </w:r>
    </w:p>
    <w:p w:rsidR="00000000" w:rsidRPr="00FD3C3A" w:rsidP="00FD3C3A">
      <w:pPr>
        <w:pStyle w:val="ListBullet"/>
      </w:pPr>
      <w:r w:rsidRPr="00FD3C3A">
        <w:t>Knowledge evidence may be collected concurrently with performance evidence or through an independent process, such as workb</w:t>
      </w:r>
      <w:r w:rsidRPr="00FD3C3A">
        <w:t>ooks, written assessments or interviews (provided a record is kept in each case).</w:t>
      </w:r>
    </w:p>
    <w:p w:rsidR="00000000" w:rsidRPr="00FD3C3A" w:rsidP="00FD3C3A">
      <w:pPr>
        <w:pStyle w:val="ListBullet"/>
      </w:pPr>
      <w:r w:rsidRPr="00FD3C3A">
        <w:t xml:space="preserve">This unit of competency may be assessed with: </w:t>
      </w:r>
    </w:p>
    <w:p w:rsidR="00000000" w:rsidRPr="00FD3C3A" w:rsidP="00FD3C3A">
      <w:pPr>
        <w:pStyle w:val="ListBullet2"/>
      </w:pPr>
      <w:r w:rsidRPr="00FD3C3A">
        <w:t>MSL934002 Apply quality system and continuous improvement processes</w:t>
      </w:r>
    </w:p>
    <w:p w:rsidR="00000000" w:rsidRPr="00FD3C3A" w:rsidP="00FD3C3A">
      <w:pPr>
        <w:pStyle w:val="ListBullet"/>
      </w:pPr>
      <w:r w:rsidRPr="00FD3C3A">
        <w:t xml:space="preserve">Holistic assessment methods include: </w:t>
      </w:r>
    </w:p>
    <w:p w:rsidR="00000000" w:rsidRPr="00FD3C3A" w:rsidP="00FD3C3A">
      <w:pPr>
        <w:pStyle w:val="ListBullet2"/>
      </w:pPr>
      <w:r w:rsidRPr="00FD3C3A">
        <w:t>review of results/data/records generated by the candidate</w:t>
      </w:r>
    </w:p>
    <w:p w:rsidR="00000000" w:rsidRPr="00FD3C3A" w:rsidP="00FD3C3A">
      <w:pPr>
        <w:pStyle w:val="ListBullet2"/>
      </w:pPr>
      <w:r w:rsidRPr="00FD3C3A">
        <w:t>feedback from peers and supervisors to confirm that the candidate consistently follows workplace procedures and generates results that meet workplace requirements</w:t>
      </w:r>
    </w:p>
    <w:p w:rsidR="00000000" w:rsidRPr="00FD3C3A" w:rsidP="00FD3C3A">
      <w:pPr>
        <w:pStyle w:val="ListBullet2"/>
      </w:pPr>
      <w:r w:rsidRPr="00FD3C3A">
        <w:t>oral and/or written questions assoc</w:t>
      </w:r>
      <w:r w:rsidRPr="00FD3C3A">
        <w:t>iated with laboratory determinations and record keeping</w:t>
      </w:r>
    </w:p>
    <w:p w:rsidR="00000000" w:rsidRPr="00FD3C3A" w:rsidP="00FD3C3A">
      <w:pPr>
        <w:pStyle w:val="ListBullet2"/>
      </w:pPr>
      <w:r w:rsidRPr="00FD3C3A">
        <w:t>integrated assessment with a case study focus, such as the isolation and identification of bacterial species in a specimen containing two or more species by relating sample, cultural, morphological an</w:t>
      </w:r>
      <w:r w:rsidRPr="00FD3C3A">
        <w:t>d biochemical data from other relevant tests and procedures.</w:t>
      </w:r>
    </w:p>
    <w:p w:rsidR="00000000" w:rsidRPr="00FD3C3A" w:rsidP="00FD3C3A">
      <w:pPr>
        <w:pStyle w:val="ListBullet"/>
      </w:pPr>
      <w:r w:rsidRPr="00FD3C3A">
        <w:t>Access is required to instruments, equipment, materials, workplace documentation, procedures and specifications associated with this unit, including, but not limited to:</w:t>
      </w:r>
    </w:p>
    <w:p w:rsidR="00000000" w:rsidRPr="00FD3C3A" w:rsidP="00FD3C3A">
      <w:pPr>
        <w:pStyle w:val="ListBullet2"/>
      </w:pPr>
      <w:r w:rsidRPr="00FD3C3A">
        <w:t>a standard microbiology</w:t>
      </w:r>
      <w:r w:rsidRPr="00FD3C3A">
        <w:t xml:space="preserve"> laboratory with relevant samples; reagents; protective and physical containment equipment; sample preparation and storage equipment; test equipment, such as microscopes and counters; and sterilising equipment, such as autoclaves</w:t>
      </w:r>
    </w:p>
    <w:p w:rsidR="00000000" w:rsidRPr="00FD3C3A" w:rsidP="00FD3C3A">
      <w:pPr>
        <w:pStyle w:val="ListBullet2"/>
      </w:pPr>
      <w:r w:rsidRPr="00FD3C3A">
        <w:t>workplace procedures, test</w:t>
      </w:r>
      <w:r w:rsidRPr="00FD3C3A">
        <w:t xml:space="preserve"> methods and equipment manuals.</w:t>
      </w:r>
    </w:p>
    <w:p w:rsidR="00000000" w:rsidRPr="00FD3C3A" w:rsidP="00FD3C3A">
      <w:pPr>
        <w:pStyle w:val="ListBullet"/>
      </w:pPr>
      <w:r w:rsidRPr="00FD3C3A">
        <w:t xml:space="preserve">Under duty of care requirements, off-the-job training providers will only use samples and organisms of a risk category compatible with their laboratory as defined in </w:t>
      </w:r>
      <w:r w:rsidRPr="00FD3C3A">
        <w:rPr>
          <w:rStyle w:val="Emphasis"/>
        </w:rPr>
        <w:t>AS/NZS 2243.3 Set:2006 Safety in laboratories</w:t>
      </w:r>
      <w:r w:rsidRPr="00FD3C3A">
        <w:t>.</w:t>
      </w:r>
    </w:p>
    <w:p w:rsidR="00000000" w:rsidRPr="00FD3C3A" w:rsidP="00FD3C3A">
      <w:pPr>
        <w:pStyle w:val="ListBullet"/>
      </w:pPr>
      <w:r w:rsidRPr="00FD3C3A">
        <w:t xml:space="preserve">Assessors </w:t>
      </w:r>
      <w:r w:rsidRPr="00FD3C3A">
        <w:t xml:space="preserve">must satisfy the assessor competency requirements that are in place at the time of the assessment as set by the VET regulator.  </w:t>
      </w:r>
    </w:p>
    <w:p w:rsidR="00000000" w:rsidRPr="00FD3C3A" w:rsidP="00FD3C3A">
      <w:pPr>
        <w:pStyle w:val="ListBullet"/>
      </w:pPr>
      <w:r w:rsidRPr="00FD3C3A">
        <w:t>The assessor must demonstrate both technical competence and currency.</w:t>
      </w:r>
    </w:p>
    <w:p w:rsidR="00000000" w:rsidRPr="00FD3C3A" w:rsidP="00FD3C3A">
      <w:pPr>
        <w:pStyle w:val="ListBullet"/>
      </w:pPr>
      <w:r w:rsidRPr="00FD3C3A">
        <w:t>Technical competence can be demonstrated through:</w:t>
      </w:r>
    </w:p>
    <w:p w:rsidR="00000000" w:rsidRPr="00FD3C3A" w:rsidP="00FD3C3A">
      <w:pPr>
        <w:pStyle w:val="ListBullet2"/>
      </w:pPr>
      <w:r w:rsidRPr="00FD3C3A">
        <w:t>releva</w:t>
      </w:r>
      <w:r w:rsidRPr="00FD3C3A">
        <w:t>nt VET or other qualification/Statement of Attainment AND/OR</w:t>
      </w:r>
    </w:p>
    <w:p w:rsidR="00000000" w:rsidRPr="00FD3C3A" w:rsidP="00FD3C3A">
      <w:pPr>
        <w:pStyle w:val="ListBullet2"/>
      </w:pPr>
      <w:r w:rsidRPr="00FD3C3A">
        <w:t>relevant workplace experience.</w:t>
      </w:r>
    </w:p>
    <w:p w:rsidR="00000000" w:rsidRPr="00FD3C3A" w:rsidP="00FD3C3A">
      <w:pPr>
        <w:pStyle w:val="ListBullet"/>
      </w:pPr>
      <w:r w:rsidRPr="00FD3C3A">
        <w:t>Currency can be demonstrated through:</w:t>
      </w:r>
    </w:p>
    <w:p w:rsidR="00000000" w:rsidRPr="00FD3C3A" w:rsidP="00FD3C3A">
      <w:pPr>
        <w:pStyle w:val="ListBullet2"/>
      </w:pPr>
      <w:r w:rsidRPr="00FD3C3A">
        <w:t>performing the competency being assessed as part of current employment OR</w:t>
      </w:r>
    </w:p>
    <w:p w:rsidR="00000000" w:rsidRPr="00FD3C3A" w:rsidP="00FD3C3A">
      <w:pPr>
        <w:pStyle w:val="ListBullet2"/>
      </w:pPr>
      <w:r w:rsidRPr="00FD3C3A">
        <w:t>having consulted with a labo</w:t>
      </w:r>
      <w:r w:rsidRPr="00FD3C3A">
        <w:t>ratory about performing the competency being assessed within the last twelve months.</w:t>
      </w:r>
    </w:p>
    <w:p w:rsidR="00000000" w:rsidRPr="00FD3C3A" w:rsidP="00FD3C3A">
      <w:pPr>
        <w:pStyle w:val="AllowPageBreak"/>
      </w:pPr>
    </w:p>
    <w:p w:rsidR="00000000" w:rsidRPr="00FD3C3A" w:rsidP="00FD3C3A">
      <w:pPr>
        <w:pStyle w:val="Heading1"/>
      </w:pPr>
      <w:bookmarkStart w:id="5" w:name="O_900642"/>
      <w:bookmarkEnd w:id="5"/>
      <w:r w:rsidRPr="00FD3C3A">
        <w:t>Links</w:t>
      </w:r>
    </w:p>
    <w:p w:rsidR="00000000" w:rsidRPr="00FD3C3A" w:rsidP="00FD3C3A">
      <w:pPr>
        <w:pStyle w:val="BodyText"/>
      </w:pPr>
      <w:r w:rsidRPr="00FD3C3A">
        <w:t>Companion Volume implementation guides are found in VETNet - https://vetnet.education.gov.au/Pages/TrainingDocs.aspx?q=5c63a03b-4a6b-4ae5-9560-1e3c5</w:t>
      </w:r>
      <w:r w:rsidRPr="00FD3C3A">
        <w:t>f462baa</w:t>
      </w:r>
    </w:p>
    <w:p w:rsidR="00000000" w:rsidRPr="00FD3C3A" w:rsidP="00FD3C3A"/>
    <w:sectPr w:rsidSect="00FD3C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3A" w:rsidRPr="00A94247" w:rsidP="00A94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47" w:rsidP="00FD3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247" w:rsidP="00FD3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4247" w:rsidP="00FD3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C3A" w:rsidRPr="00A94247" w:rsidP="00A94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47" w:rsidRPr="002D2AF8" w:rsidP="00FD3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MSL975001 Perform microbiological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A94247" w:rsidP="00FD3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94B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BEA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561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C3A"/>
  </w:style>
  <w:style w:type="character" w:customStyle="1" w:styleId="Heading1Char">
    <w:name w:val="Heading 1 Char"/>
    <w:basedOn w:val="DefaultParagraphFont"/>
    <w:link w:val="Heading1"/>
    <w:rsid w:val="00FD3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C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C3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3C3A"/>
    <w:rPr>
      <w:i/>
    </w:rPr>
  </w:style>
  <w:style w:type="paragraph" w:customStyle="1" w:styleId="SuperHeading">
    <w:name w:val="SuperHeading"/>
    <w:basedOn w:val="Normal"/>
    <w:rsid w:val="00FD3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C3A"/>
    <w:rPr>
      <w:b/>
      <w:spacing w:val="0"/>
    </w:rPr>
  </w:style>
  <w:style w:type="paragraph" w:customStyle="1" w:styleId="SuperTitle">
    <w:name w:val="SuperTitle"/>
    <w:basedOn w:val="Title"/>
    <w:rsid w:val="00FD3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C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C3A"/>
  </w:style>
  <w:style w:type="paragraph" w:styleId="TableofFigures">
    <w:name w:val="table of figures"/>
    <w:basedOn w:val="Normal"/>
    <w:next w:val="Normal"/>
    <w:semiHidden/>
    <w:rsid w:val="00FD3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C3A"/>
    <w:pPr>
      <w:numPr>
        <w:numId w:val="11"/>
      </w:numPr>
    </w:pPr>
  </w:style>
  <w:style w:type="character" w:customStyle="1" w:styleId="WingdingSymbols">
    <w:name w:val="Wingding Symbols"/>
    <w:rsid w:val="00FD3C3A"/>
    <w:rPr>
      <w:rFonts w:ascii="Wingdings" w:hAnsi="Wingdings"/>
    </w:rPr>
  </w:style>
  <w:style w:type="paragraph" w:customStyle="1" w:styleId="TableHeading">
    <w:name w:val="Table Heading"/>
    <w:basedOn w:val="HeadingBase"/>
    <w:rsid w:val="00FD3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C3A"/>
    <w:rPr>
      <w:color w:val="0033CC"/>
      <w:u w:val="none"/>
    </w:rPr>
  </w:style>
  <w:style w:type="paragraph" w:customStyle="1" w:styleId="BodyTextRight">
    <w:name w:val="Body Text Right"/>
    <w:basedOn w:val="BodyText"/>
    <w:rsid w:val="00FD3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C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C3A"/>
    <w:rPr>
      <w:sz w:val="32"/>
    </w:rPr>
  </w:style>
  <w:style w:type="paragraph" w:customStyle="1" w:styleId="HeadingProcedure">
    <w:name w:val="Heading Procedure"/>
    <w:basedOn w:val="HeadingBase"/>
    <w:next w:val="Normal"/>
    <w:rsid w:val="00FD3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C3A"/>
    <w:pPr>
      <w:spacing w:before="60" w:after="60"/>
    </w:pPr>
  </w:style>
  <w:style w:type="paragraph" w:styleId="ListContinue">
    <w:name w:val="List Continue"/>
    <w:basedOn w:val="List"/>
    <w:rsid w:val="00FD3C3A"/>
    <w:pPr>
      <w:ind w:firstLine="0"/>
    </w:pPr>
  </w:style>
  <w:style w:type="paragraph" w:customStyle="1" w:styleId="ListNote">
    <w:name w:val="List Note"/>
    <w:basedOn w:val="List"/>
    <w:rsid w:val="00FD3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C3A"/>
    <w:rPr>
      <w:rFonts w:ascii="Courier New" w:hAnsi="Courier New"/>
    </w:rPr>
  </w:style>
  <w:style w:type="paragraph" w:customStyle="1" w:styleId="NoteBullet">
    <w:name w:val="Note Bullet"/>
    <w:basedOn w:val="Note"/>
    <w:rsid w:val="00FD3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C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3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C3A"/>
    <w:rPr>
      <w:b/>
      <w:smallCaps/>
    </w:rPr>
  </w:style>
  <w:style w:type="paragraph" w:customStyle="1" w:styleId="TableListNumber">
    <w:name w:val="Table List Number"/>
    <w:basedOn w:val="ListNumber"/>
    <w:rsid w:val="00FD3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C3A"/>
    <w:pPr>
      <w:numPr>
        <w:numId w:val="9"/>
      </w:numPr>
    </w:pPr>
  </w:style>
  <w:style w:type="paragraph" w:customStyle="1" w:styleId="ListAlpha2">
    <w:name w:val="List Alpha 2"/>
    <w:basedOn w:val="List2"/>
    <w:rsid w:val="00FD3C3A"/>
    <w:pPr>
      <w:numPr>
        <w:numId w:val="8"/>
      </w:numPr>
    </w:pPr>
  </w:style>
  <w:style w:type="paragraph" w:styleId="List2">
    <w:name w:val="List 2"/>
    <w:basedOn w:val="BodyText"/>
    <w:rsid w:val="00FD3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C3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C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C3A"/>
    <w:pPr>
      <w:numPr>
        <w:numId w:val="4"/>
      </w:numPr>
    </w:pPr>
  </w:style>
  <w:style w:type="paragraph" w:styleId="ListContinue2">
    <w:name w:val="List Continue 2"/>
    <w:basedOn w:val="List2"/>
    <w:rsid w:val="00FD3C3A"/>
    <w:pPr>
      <w:ind w:firstLine="0"/>
    </w:pPr>
  </w:style>
  <w:style w:type="paragraph" w:styleId="ListContinue3">
    <w:name w:val="List Continue 3"/>
    <w:basedOn w:val="List3"/>
    <w:rsid w:val="00FD3C3A"/>
    <w:pPr>
      <w:ind w:left="1021" w:firstLine="0"/>
    </w:pPr>
  </w:style>
  <w:style w:type="paragraph" w:styleId="ListContinue4">
    <w:name w:val="List Continue 4"/>
    <w:basedOn w:val="List4"/>
    <w:rsid w:val="00FD3C3A"/>
    <w:pPr>
      <w:ind w:firstLine="0"/>
    </w:pPr>
  </w:style>
  <w:style w:type="paragraph" w:styleId="ListContinue5">
    <w:name w:val="List Continue 5"/>
    <w:basedOn w:val="List5"/>
    <w:rsid w:val="00FD3C3A"/>
    <w:pPr>
      <w:ind w:firstLine="0"/>
    </w:pPr>
  </w:style>
  <w:style w:type="paragraph" w:styleId="ListNumber3">
    <w:name w:val="List Number 3"/>
    <w:basedOn w:val="List3"/>
    <w:rsid w:val="00FD3C3A"/>
    <w:pPr>
      <w:numPr>
        <w:numId w:val="5"/>
      </w:numPr>
    </w:pPr>
  </w:style>
  <w:style w:type="paragraph" w:styleId="ListNumber4">
    <w:name w:val="List Number 4"/>
    <w:basedOn w:val="List4"/>
    <w:rsid w:val="00FD3C3A"/>
    <w:pPr>
      <w:numPr>
        <w:numId w:val="6"/>
      </w:numPr>
    </w:pPr>
  </w:style>
  <w:style w:type="paragraph" w:styleId="ListNumber5">
    <w:name w:val="List Number 5"/>
    <w:basedOn w:val="List5"/>
    <w:rsid w:val="00FD3C3A"/>
    <w:pPr>
      <w:numPr>
        <w:numId w:val="7"/>
      </w:numPr>
    </w:pPr>
  </w:style>
  <w:style w:type="paragraph" w:styleId="BlockText">
    <w:name w:val="Block Text"/>
    <w:basedOn w:val="Normal"/>
    <w:rsid w:val="00FD3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C3A"/>
    <w:rPr>
      <w:sz w:val="16"/>
      <w:vertAlign w:val="superscript"/>
    </w:rPr>
  </w:style>
  <w:style w:type="character" w:customStyle="1" w:styleId="Symbols">
    <w:name w:val="Symbols"/>
    <w:basedOn w:val="DefaultParagraphFont"/>
    <w:rsid w:val="00FD3C3A"/>
    <w:rPr>
      <w:rFonts w:ascii="Symbol" w:hAnsi="Symbol"/>
    </w:rPr>
  </w:style>
  <w:style w:type="character" w:customStyle="1" w:styleId="MenuOptions">
    <w:name w:val="Menu Options"/>
    <w:basedOn w:val="DefaultParagraphFont"/>
    <w:rsid w:val="00FD3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C3A"/>
    <w:rPr>
      <w:b/>
    </w:rPr>
  </w:style>
  <w:style w:type="character" w:customStyle="1" w:styleId="Underlined">
    <w:name w:val="Underlined"/>
    <w:basedOn w:val="DefaultParagraphFont"/>
    <w:rsid w:val="00FD3C3A"/>
    <w:rPr>
      <w:u w:val="single"/>
    </w:rPr>
  </w:style>
  <w:style w:type="paragraph" w:customStyle="1" w:styleId="TableBodyTextRight">
    <w:name w:val="Table Body Text Right"/>
    <w:basedOn w:val="TableBodyText"/>
    <w:rsid w:val="00FD3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C3A"/>
    <w:rPr>
      <w:sz w:val="18"/>
    </w:rPr>
  </w:style>
  <w:style w:type="paragraph" w:customStyle="1" w:styleId="BodySmallRight">
    <w:name w:val="Body Small Right"/>
    <w:basedOn w:val="BodyTextRight"/>
    <w:rsid w:val="00FD3C3A"/>
    <w:rPr>
      <w:sz w:val="18"/>
      <w:szCs w:val="18"/>
    </w:rPr>
  </w:style>
  <w:style w:type="paragraph" w:customStyle="1" w:styleId="MarginEdition">
    <w:name w:val="Margin Edition"/>
    <w:basedOn w:val="MarginNote"/>
    <w:rsid w:val="00FD3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C3A"/>
    <w:rPr>
      <w:sz w:val="2"/>
      <w:szCs w:val="2"/>
    </w:rPr>
  </w:style>
  <w:style w:type="character" w:customStyle="1" w:styleId="Small">
    <w:name w:val="Small"/>
    <w:basedOn w:val="DefaultParagraphFont"/>
    <w:rsid w:val="00FD3C3A"/>
    <w:rPr>
      <w:sz w:val="16"/>
    </w:rPr>
  </w:style>
  <w:style w:type="paragraph" w:customStyle="1" w:styleId="WideTable">
    <w:name w:val="Wide Table"/>
    <w:basedOn w:val="Normal"/>
    <w:rsid w:val="00FD3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C3A"/>
  </w:style>
  <w:style w:type="paragraph" w:styleId="Quote">
    <w:name w:val="Quote"/>
    <w:basedOn w:val="Heading1"/>
    <w:link w:val="QuoteChar"/>
    <w:qFormat/>
    <w:rsid w:val="00FD3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C3A"/>
    <w:pPr>
      <w:pageBreakBefore/>
    </w:pPr>
  </w:style>
  <w:style w:type="paragraph" w:customStyle="1" w:styleId="Border">
    <w:name w:val="Border"/>
    <w:basedOn w:val="Normal"/>
    <w:qFormat/>
    <w:rsid w:val="00FD3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C3A"/>
    <w:rPr>
      <w:u w:val="single"/>
    </w:rPr>
  </w:style>
  <w:style w:type="character" w:customStyle="1" w:styleId="BoldandItalics">
    <w:name w:val="Bold and Italics"/>
    <w:qFormat/>
    <w:rsid w:val="00FD3C3A"/>
    <w:rPr>
      <w:b/>
      <w:i/>
      <w:u w:val="none"/>
    </w:rPr>
  </w:style>
  <w:style w:type="paragraph" w:styleId="BalloonText">
    <w:name w:val="Balloon Text"/>
    <w:basedOn w:val="Normal"/>
    <w:link w:val="BalloonTextChar"/>
    <w:rsid w:val="00FD3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C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5030</Characters>
  <Application>Microsoft Office Word</Application>
  <DocSecurity>0</DocSecurity>
  <Lines>102</Lines>
  <Paragraphs>59</Paragraphs>
  <ScaleCrop>false</ScaleCrop>
  <Company>Author-it Software Corporation Ltd.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MSL975001 Perform microbiological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2018-02-01T00:37:00Z</dcterms:created>
  <dcterms:modified xsi:type="dcterms:W3CDTF">2018-02-01T00:37:00Z</dcterms:modified>
</cp:coreProperties>
</file>