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EFD" w:rsidP="00D34EFD">
      <w:pPr>
        <w:pStyle w:val="Title"/>
      </w:pPr>
      <w:r>
        <w:fldChar w:fldCharType="begin"/>
      </w:r>
      <w:r>
        <w:instrText xml:space="preserve"> TITLE   \* MERGEFORMAT </w:instrText>
      </w:r>
      <w:r>
        <w:fldChar w:fldCharType="separate"/>
      </w:r>
      <w:r>
        <w:t>MSL974037 Triage and allocate tissue specimens</w:t>
      </w:r>
      <w:r>
        <w:fldChar w:fldCharType="end"/>
      </w:r>
    </w:p>
    <w:p w:rsidR="00D34EFD" w:rsidP="00D34EFD">
      <w:pPr>
        <w:pStyle w:val="Version"/>
        <w:sectPr w:rsidSect="00D91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DC9" w:rsidP="00D91DC9">
      <w:pPr>
        <w:pStyle w:val="SuperHeading"/>
      </w:pPr>
      <w:r w:rsidRPr="00D91DC9">
        <w:t>MSL974037 Triage and allocate tissue specimens</w:t>
      </w:r>
    </w:p>
    <w:p w:rsidR="00000000" w:rsidRPr="00D91DC9" w:rsidP="00D91DC9">
      <w:pPr>
        <w:pStyle w:val="Heading1"/>
      </w:pPr>
      <w:bookmarkStart w:id="1" w:name="O_1257613"/>
      <w:bookmarkEnd w:id="1"/>
      <w:r w:rsidRPr="00D91DC9">
        <w:t>Modification History</w:t>
      </w:r>
    </w:p>
    <w:p w:rsidR="00000000" w:rsidRPr="00D91DC9" w:rsidP="00D34EFD">
      <w:pPr>
        <w:pStyle w:val="BodyText"/>
      </w:pPr>
      <w:r w:rsidRPr="00D91DC9">
        <w:t>Release 1. New unit.</w:t>
      </w:r>
    </w:p>
    <w:p w:rsidR="00000000" w:rsidRPr="00D91DC9" w:rsidP="00D91DC9">
      <w:pPr>
        <w:pStyle w:val="Heading1"/>
      </w:pPr>
      <w:bookmarkStart w:id="2" w:name="O_1257614"/>
      <w:bookmarkEnd w:id="2"/>
      <w:r w:rsidRPr="00D91DC9">
        <w:t>Application</w:t>
      </w:r>
    </w:p>
    <w:p w:rsidR="00000000" w:rsidRPr="00D91DC9" w:rsidP="00D34EFD">
      <w:pPr>
        <w:pStyle w:val="BodyText"/>
      </w:pPr>
      <w:r w:rsidRPr="00D91DC9">
        <w:t>This unit of competency describes the skills and knowledge to triage and allocate tissue specimens for transfer or surgical cut-up.</w:t>
      </w:r>
    </w:p>
    <w:p w:rsidR="00000000" w:rsidRPr="00D91DC9" w:rsidP="00D34EFD">
      <w:pPr>
        <w:pStyle w:val="BodyText"/>
      </w:pPr>
      <w:r w:rsidRPr="00D91DC9">
        <w:t>This unit applies to technical assistants,</w:t>
      </w:r>
      <w:r w:rsidRPr="00D91DC9">
        <w:t xml:space="preserve"> technical officers and laboratory technicians working in anatomical pathology laboratories. The scope of work to be undertaken is clearly described in the laboratory’s manual of procedures. The unit of competency is based on the assumption that technical </w:t>
      </w:r>
      <w:r w:rsidRPr="00D91DC9">
        <w:t xml:space="preserve">personnel would perform work under the supervision of scientific and/or medical staff as per National Pathology Accreditation Advisory Council (NPAAC) guidelines. The pathologist has the ultimate responsibility for the handling of a specimen regardless of </w:t>
      </w:r>
      <w:r w:rsidRPr="00D91DC9">
        <w:t>who has performed these tasks.</w:t>
      </w:r>
    </w:p>
    <w:p w:rsidR="00000000" w:rsidRPr="00D91DC9" w:rsidP="00D34EFD">
      <w:pPr>
        <w:pStyle w:val="BodyText"/>
      </w:pPr>
      <w:r w:rsidRPr="00D91DC9">
        <w:t>No licensing or certification requirements exist at the time of publication. However, regulations and/or external accreditation requirements for laboratory operations exist, so local requirements should be checked. Relevant l</w:t>
      </w:r>
      <w:r w:rsidRPr="00D91DC9">
        <w:t>egislation, industry standards and codes of practice within Australia must also be applied.</w:t>
      </w:r>
    </w:p>
    <w:p w:rsidR="00000000" w:rsidRPr="00D91DC9" w:rsidP="00D91DC9">
      <w:pPr>
        <w:pStyle w:val="Heading1"/>
      </w:pPr>
      <w:bookmarkStart w:id="3" w:name="O_1257615"/>
      <w:bookmarkEnd w:id="3"/>
      <w:r w:rsidRPr="00D91DC9">
        <w:t>Pre-requisite Unit</w:t>
      </w:r>
    </w:p>
    <w:p w:rsidR="00000000" w:rsidRPr="00D91DC9" w:rsidP="00D34EFD">
      <w:pPr>
        <w:pStyle w:val="BodyText"/>
      </w:pPr>
      <w:r w:rsidRPr="00D91DC9">
        <w:t>Nil</w:t>
      </w:r>
    </w:p>
    <w:p w:rsidR="00000000" w:rsidRPr="00D91DC9" w:rsidP="00D91DC9">
      <w:pPr>
        <w:pStyle w:val="Heading1"/>
      </w:pPr>
      <w:bookmarkStart w:id="4" w:name="O_1257616"/>
      <w:bookmarkEnd w:id="4"/>
      <w:r w:rsidRPr="00D91DC9">
        <w:t>Competency Field</w:t>
      </w:r>
    </w:p>
    <w:p w:rsidR="00000000" w:rsidRPr="00D91DC9" w:rsidP="00D34EFD">
      <w:pPr>
        <w:pStyle w:val="BodyText"/>
      </w:pPr>
      <w:r w:rsidRPr="00D91DC9">
        <w:t xml:space="preserve">Testing </w:t>
      </w:r>
    </w:p>
    <w:p w:rsidR="00000000" w:rsidRPr="00D91DC9" w:rsidP="00D91DC9">
      <w:pPr>
        <w:pStyle w:val="Heading1"/>
      </w:pPr>
      <w:bookmarkStart w:id="5" w:name="O_1257618"/>
      <w:bookmarkEnd w:id="5"/>
      <w:r w:rsidRPr="00D91DC9">
        <w:t>Elements and Performance Criteria</w:t>
      </w:r>
    </w:p>
    <w:tbl>
      <w:tblPr>
        <w:tblW w:w="9639" w:type="dxa"/>
        <w:tblLayout w:type="fixed"/>
        <w:tblCellMar>
          <w:left w:w="62" w:type="dxa"/>
          <w:right w:w="62" w:type="dxa"/>
        </w:tblCellMar>
        <w:tblLook w:val="0000"/>
      </w:tblPr>
      <w:tblGrid>
        <w:gridCol w:w="2502"/>
        <w:gridCol w:w="7137"/>
      </w:tblGrid>
      <w:tr w:rsidTr="00D34EF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1DC9" w:rsidP="00D91DC9">
            <w:pPr>
              <w:pStyle w:val="BodyText"/>
            </w:pPr>
            <w:r w:rsidRPr="00D91D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1DC9">
            <w:pPr>
              <w:pStyle w:val="BodyText"/>
              <w:rPr>
                <w:lang w:val="en-NZ"/>
              </w:rPr>
            </w:pPr>
            <w:r w:rsidRPr="00D91DC9">
              <w:rPr>
                <w:rStyle w:val="SpecialBold"/>
              </w:rPr>
              <w:t>Performance Cri</w:t>
            </w:r>
            <w:r w:rsidRPr="00D91DC9">
              <w:rPr>
                <w:rStyle w:val="SpecialBold"/>
              </w:rPr>
              <w:t>teria</w:t>
            </w:r>
          </w:p>
        </w:tc>
      </w:tr>
      <w:tr w:rsidTr="00D34EF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1DC9">
            <w:pPr>
              <w:pStyle w:val="BodyText"/>
              <w:rPr>
                <w:lang w:val="en-NZ"/>
              </w:rPr>
            </w:pPr>
            <w:r w:rsidRPr="00D91DC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1DC9">
            <w:pPr>
              <w:pStyle w:val="BodyText"/>
              <w:rPr>
                <w:lang w:val="en-NZ"/>
              </w:rPr>
            </w:pPr>
            <w:r w:rsidRPr="00D91DC9">
              <w:t>Performance criteria describe the performance needed to demonstrate achievement of the element.</w:t>
            </w:r>
          </w:p>
        </w:tc>
      </w:tr>
      <w:tr w:rsidTr="00D34EF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DC9">
            <w:pPr>
              <w:pStyle w:val="BodyText"/>
              <w:rPr>
                <w:lang w:val="en-NZ"/>
              </w:rPr>
            </w:pPr>
            <w:r w:rsidRPr="00D91DC9">
              <w:t xml:space="preserve">1. Receive and check tissue specimens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DC9" w:rsidP="00D91DC9">
            <w:pPr>
              <w:pStyle w:val="BodyText"/>
            </w:pPr>
            <w:r w:rsidRPr="00D91DC9">
              <w:t>1.1 Unpack tissue specimens and match to request forms in accordance with workplace procedures</w:t>
            </w:r>
          </w:p>
          <w:p w:rsidR="00000000" w:rsidRPr="00D91DC9" w:rsidP="00D91DC9">
            <w:pPr>
              <w:pStyle w:val="BodyText"/>
            </w:pPr>
            <w:r w:rsidRPr="00D91DC9">
              <w:t>1.2 Identify tissue specimens and request forms that do not comply with workplace requirements</w:t>
            </w:r>
          </w:p>
          <w:p w:rsidR="00000000" w:rsidRPr="00D91DC9" w:rsidP="00D91DC9">
            <w:pPr>
              <w:pStyle w:val="BodyText"/>
            </w:pPr>
            <w:r w:rsidRPr="00D91DC9">
              <w:t xml:space="preserve">1.3 Record any discrepancies and indicate action required </w:t>
            </w:r>
          </w:p>
          <w:p w:rsidR="00000000" w:rsidP="00D91DC9">
            <w:pPr>
              <w:pStyle w:val="BodyText"/>
              <w:rPr>
                <w:lang w:val="en-NZ"/>
              </w:rPr>
            </w:pPr>
            <w:r w:rsidRPr="00D91DC9">
              <w:t>1.4 Reg</w:t>
            </w:r>
            <w:r w:rsidRPr="00D91DC9">
              <w:t>ister samples in accordance with workplace procedures, recording details that allow accurate tracking and chain of custody traceable to employee</w:t>
            </w:r>
          </w:p>
        </w:tc>
      </w:tr>
      <w:tr w:rsidTr="00D34EF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DC9">
            <w:pPr>
              <w:pStyle w:val="BodyText"/>
              <w:rPr>
                <w:lang w:val="en-NZ"/>
              </w:rPr>
            </w:pPr>
            <w:r w:rsidRPr="00D91DC9">
              <w:t>2. Triage and distribute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DC9" w:rsidP="00D91DC9">
            <w:pPr>
              <w:pStyle w:val="BodyText"/>
            </w:pPr>
            <w:r w:rsidRPr="00D91DC9">
              <w:t>2.1 Identify and review data that informs tissue specimen triage</w:t>
            </w:r>
          </w:p>
          <w:p w:rsidR="00000000" w:rsidRPr="00D91DC9" w:rsidP="00D91DC9">
            <w:pPr>
              <w:pStyle w:val="BodyText"/>
            </w:pPr>
            <w:r w:rsidRPr="00D91DC9">
              <w:t>2.2 Identi</w:t>
            </w:r>
            <w:r w:rsidRPr="00D91DC9">
              <w:t>fy fresh tissue specimens based on information provided</w:t>
            </w:r>
          </w:p>
          <w:p w:rsidR="00000000" w:rsidRPr="00D91DC9" w:rsidP="00D91DC9">
            <w:pPr>
              <w:pStyle w:val="BodyText"/>
            </w:pPr>
            <w:r w:rsidRPr="00D91DC9">
              <w:t xml:space="preserve">2.3 Sort, prioritise and distribute tissue specimens based on their complexity and subsequent processing requirements </w:t>
            </w:r>
          </w:p>
          <w:p w:rsidR="00000000" w:rsidRPr="00D91DC9" w:rsidP="00D91DC9">
            <w:pPr>
              <w:pStyle w:val="BodyText"/>
            </w:pPr>
            <w:r w:rsidRPr="00D91DC9">
              <w:t xml:space="preserve">2.4 Follow workplace procedures to optimise workflow processes </w:t>
            </w:r>
          </w:p>
        </w:tc>
      </w:tr>
    </w:tbl>
    <w:p w:rsidR="00000000" w:rsidRPr="00D91DC9" w:rsidP="00D91DC9">
      <w:pPr>
        <w:pStyle w:val="BodyText"/>
      </w:pPr>
    </w:p>
    <w:p w:rsidR="00000000" w:rsidRPr="00D91DC9" w:rsidP="00D91DC9">
      <w:pPr>
        <w:pStyle w:val="AllowPageBreak"/>
      </w:pPr>
    </w:p>
    <w:p w:rsidR="00000000" w:rsidRPr="00D91DC9" w:rsidP="00D91DC9">
      <w:pPr>
        <w:pStyle w:val="Heading1"/>
      </w:pPr>
      <w:bookmarkStart w:id="6" w:name="O_1257619"/>
      <w:bookmarkEnd w:id="6"/>
      <w:r w:rsidRPr="00D91DC9">
        <w:t>Foundation Skills</w:t>
      </w:r>
    </w:p>
    <w:p w:rsidR="00000000" w:rsidRPr="00D91DC9" w:rsidP="00D34EFD">
      <w:pPr>
        <w:pStyle w:val="BodyText"/>
      </w:pPr>
      <w:r w:rsidRPr="00D91DC9">
        <w:t>This section describes those language, literacy, numeracy and employment skills that are essential to performance.</w:t>
      </w:r>
    </w:p>
    <w:p w:rsidR="00000000" w:rsidRPr="00D91DC9" w:rsidP="00D34EFD">
      <w:pPr>
        <w:pStyle w:val="BodyText"/>
      </w:pPr>
      <w:r w:rsidRPr="00D91DC9">
        <w:t>Foundation skills essential to performance are explicit in the performance criteria of this unit.</w:t>
      </w:r>
    </w:p>
    <w:p w:rsidR="00000000" w:rsidRPr="00D91DC9" w:rsidP="00D91DC9">
      <w:pPr>
        <w:pStyle w:val="Heading1"/>
      </w:pPr>
      <w:bookmarkStart w:id="7" w:name="O_1257621"/>
      <w:bookmarkEnd w:id="7"/>
      <w:r w:rsidRPr="00D91DC9">
        <w:t>Unit Mapping Information</w:t>
      </w:r>
    </w:p>
    <w:p w:rsidR="00000000" w:rsidRPr="00D91DC9" w:rsidP="00D34EFD">
      <w:pPr>
        <w:pStyle w:val="BodyText"/>
      </w:pPr>
      <w:r w:rsidRPr="00D91DC9">
        <w:t>No equivalent unit.</w:t>
      </w:r>
    </w:p>
    <w:p w:rsidR="00000000" w:rsidRPr="00D91DC9" w:rsidP="00D91DC9">
      <w:pPr>
        <w:pStyle w:val="Heading1"/>
      </w:pPr>
      <w:bookmarkStart w:id="8" w:name="O_1257628"/>
      <w:bookmarkEnd w:id="8"/>
      <w:r w:rsidRPr="00D91DC9">
        <w:t>Links</w:t>
      </w:r>
    </w:p>
    <w:p w:rsidR="00000000" w:rsidRPr="00D91DC9" w:rsidP="00D34EFD">
      <w:pPr>
        <w:pStyle w:val="BodyText"/>
      </w:pPr>
      <w:r w:rsidRPr="00D91DC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914D4">
        <w:rPr>
          <w:rStyle w:val="Hyperlink"/>
        </w:rPr>
        <w:t>https://vetnet.gov.au/Pages/TrainingDocs.aspx?q=5c63a03b-4a6b-4ae5-9560-1e3c5f462baa</w:t>
      </w:r>
      <w:r>
        <w:fldChar w:fldCharType="end"/>
      </w:r>
    </w:p>
    <w:p w:rsidR="00000000" w:rsidRPr="00D91DC9" w:rsidP="00D34EFD">
      <w:pPr>
        <w:pStyle w:val="BodyText"/>
        <w:sectPr w:rsidSect="00D91DC9">
          <w:headerReference w:type="default" r:id="rId10"/>
          <w:footerReference w:type="default" r:id="rId11"/>
          <w:pgSz w:w="11908" w:h="16833"/>
          <w:pgMar w:top="1702" w:right="1418" w:bottom="1702" w:left="1418" w:header="992" w:footer="992" w:gutter="0"/>
          <w:cols w:space="720"/>
          <w:noEndnote/>
          <w:docGrid w:linePitch="299"/>
        </w:sectPr>
      </w:pPr>
    </w:p>
    <w:p w:rsidR="00000000" w:rsidRPr="00D91DC9" w:rsidP="00D91DC9">
      <w:pPr>
        <w:pStyle w:val="SuperHeading"/>
      </w:pPr>
      <w:r w:rsidRPr="00D91DC9">
        <w:t>Assessment Requirements for MSL974037 Triage and allocate tissue specimens</w:t>
      </w:r>
    </w:p>
    <w:p w:rsidR="00000000" w:rsidRPr="00D91DC9" w:rsidP="00D91DC9">
      <w:pPr>
        <w:pStyle w:val="Heading1"/>
      </w:pPr>
      <w:bookmarkStart w:id="9" w:name="O_1257623"/>
      <w:bookmarkEnd w:id="9"/>
      <w:r w:rsidRPr="00D91DC9">
        <w:t>Modification History</w:t>
      </w:r>
    </w:p>
    <w:p w:rsidR="00000000" w:rsidRPr="00D91DC9" w:rsidP="00D34EFD">
      <w:pPr>
        <w:pStyle w:val="BodyText"/>
      </w:pPr>
      <w:r w:rsidRPr="00D91DC9">
        <w:t>Release 1. New unit.</w:t>
      </w:r>
    </w:p>
    <w:p w:rsidR="00000000" w:rsidRPr="00D91DC9" w:rsidP="00D91DC9">
      <w:pPr>
        <w:pStyle w:val="Heading1"/>
      </w:pPr>
      <w:bookmarkStart w:id="10" w:name="O_1257624"/>
      <w:bookmarkEnd w:id="10"/>
      <w:r w:rsidRPr="00D91DC9">
        <w:t>Performance Evidence</w:t>
      </w:r>
    </w:p>
    <w:p w:rsidR="00000000" w:rsidRPr="00D91DC9" w:rsidP="00D34EFD">
      <w:pPr>
        <w:pStyle w:val="BodyText"/>
      </w:pPr>
      <w:r w:rsidRPr="00D91DC9">
        <w:t>There must be evidence the candidat</w:t>
      </w:r>
      <w:r w:rsidRPr="00D91DC9">
        <w:t>e has completed the tasks outlined in the elements and performance criteria of this unit, and:</w:t>
      </w:r>
    </w:p>
    <w:p w:rsidR="00000000" w:rsidRPr="00D91DC9" w:rsidP="00D91DC9">
      <w:pPr>
        <w:pStyle w:val="ListBullet"/>
      </w:pPr>
      <w:r w:rsidRPr="00D91DC9">
        <w:t>followed workplace procedures for the triage and allocation of at least 10 different tissue specimens including at least 1 of each of the following:</w:t>
      </w:r>
    </w:p>
    <w:p w:rsidR="00000000" w:rsidRPr="00D91DC9" w:rsidP="00D91DC9">
      <w:pPr>
        <w:pStyle w:val="ListBullet2"/>
      </w:pPr>
      <w:r w:rsidRPr="00D91DC9">
        <w:t>fresh tissue</w:t>
      </w:r>
    </w:p>
    <w:p w:rsidR="00000000" w:rsidRPr="00D91DC9" w:rsidP="00D91DC9">
      <w:pPr>
        <w:pStyle w:val="ListBullet2"/>
      </w:pPr>
      <w:r w:rsidRPr="00D91DC9">
        <w:t>simple transfer</w:t>
      </w:r>
    </w:p>
    <w:p w:rsidR="00000000" w:rsidRPr="00D91DC9" w:rsidP="00D91DC9">
      <w:pPr>
        <w:pStyle w:val="ListBullet2"/>
      </w:pPr>
      <w:r w:rsidRPr="00D91DC9">
        <w:t>non-complex.</w:t>
      </w:r>
    </w:p>
    <w:p w:rsidR="00000000" w:rsidRPr="00D91DC9" w:rsidP="00D91DC9">
      <w:pPr>
        <w:pStyle w:val="AllowPageBreak"/>
      </w:pPr>
    </w:p>
    <w:p w:rsidR="00000000" w:rsidRPr="00D91DC9" w:rsidP="00D91DC9">
      <w:pPr>
        <w:pStyle w:val="Heading1"/>
      </w:pPr>
      <w:bookmarkStart w:id="11" w:name="O_1257625"/>
      <w:bookmarkEnd w:id="11"/>
      <w:r w:rsidRPr="00D91DC9">
        <w:t>Knowledge Evidence</w:t>
      </w:r>
    </w:p>
    <w:p w:rsidR="00000000" w:rsidRPr="00D91DC9" w:rsidP="00D34EFD">
      <w:pPr>
        <w:pStyle w:val="BodyText"/>
      </w:pPr>
      <w:r w:rsidRPr="00D91DC9">
        <w:t>There must be evidence the candidate has knowledge of:</w:t>
      </w:r>
    </w:p>
    <w:p w:rsidR="00000000" w:rsidRPr="00D91DC9" w:rsidP="00D91DC9">
      <w:pPr>
        <w:pStyle w:val="ListBullet"/>
      </w:pPr>
      <w:r w:rsidRPr="00D91DC9">
        <w:t>purpose of and processes involved in triage and allocation</w:t>
      </w:r>
    </w:p>
    <w:p w:rsidR="00000000" w:rsidRPr="00D91DC9" w:rsidP="00D91DC9">
      <w:pPr>
        <w:pStyle w:val="ListBullet"/>
      </w:pPr>
      <w:r w:rsidRPr="00D91DC9">
        <w:t>safe bench practices, including personal protective equipment</w:t>
      </w:r>
      <w:r w:rsidRPr="00D91DC9">
        <w:t xml:space="preserve"> (PPE), cleaning and hygiene requirements</w:t>
      </w:r>
    </w:p>
    <w:p w:rsidR="00000000" w:rsidRPr="00D91DC9" w:rsidP="00D91DC9">
      <w:pPr>
        <w:pStyle w:val="ListBullet"/>
      </w:pPr>
      <w:r w:rsidRPr="00D91DC9">
        <w:t>hazards in work involving triage and allocation and associated risk management procedures, including those related to:</w:t>
      </w:r>
    </w:p>
    <w:p w:rsidR="00000000" w:rsidRPr="00D91DC9" w:rsidP="00D91DC9">
      <w:pPr>
        <w:pStyle w:val="ListBullet2"/>
      </w:pPr>
      <w:r w:rsidRPr="00D91DC9">
        <w:t xml:space="preserve">ventilation </w:t>
      </w:r>
    </w:p>
    <w:p w:rsidR="00000000" w:rsidRPr="00D91DC9" w:rsidP="00D91DC9">
      <w:pPr>
        <w:pStyle w:val="ListBullet2"/>
      </w:pPr>
      <w:r w:rsidRPr="00D91DC9">
        <w:t>formalin</w:t>
      </w:r>
    </w:p>
    <w:p w:rsidR="00000000" w:rsidRPr="00D91DC9" w:rsidP="00D91DC9">
      <w:pPr>
        <w:pStyle w:val="ListBullet2"/>
      </w:pPr>
      <w:r w:rsidRPr="00D91DC9">
        <w:t>sharps</w:t>
      </w:r>
    </w:p>
    <w:p w:rsidR="00000000" w:rsidRPr="00D91DC9" w:rsidP="00D91DC9">
      <w:pPr>
        <w:pStyle w:val="ListBullet2"/>
      </w:pPr>
      <w:r w:rsidRPr="00D91DC9">
        <w:t>biohazards</w:t>
      </w:r>
    </w:p>
    <w:p w:rsidR="00000000" w:rsidRPr="00D91DC9" w:rsidP="00D91DC9">
      <w:pPr>
        <w:pStyle w:val="ListBullet2"/>
      </w:pPr>
      <w:r w:rsidRPr="00D91DC9">
        <w:t>ergonomics</w:t>
      </w:r>
    </w:p>
    <w:p w:rsidR="00000000" w:rsidRPr="00D91DC9" w:rsidP="00D91DC9">
      <w:pPr>
        <w:pStyle w:val="ListBullet"/>
      </w:pPr>
      <w:r w:rsidRPr="00D91DC9">
        <w:t>cross-checking procedu</w:t>
      </w:r>
      <w:r w:rsidRPr="00D91DC9">
        <w:t>res used in laboratories to ensure matching of patients, tissue specimens and request forms</w:t>
      </w:r>
    </w:p>
    <w:p w:rsidR="00000000" w:rsidRPr="00D91DC9" w:rsidP="00D91DC9">
      <w:pPr>
        <w:pStyle w:val="ListBullet"/>
      </w:pPr>
      <w:r w:rsidRPr="00D91DC9">
        <w:t>procedures for handling non-compliant specimens</w:t>
      </w:r>
    </w:p>
    <w:p w:rsidR="00000000" w:rsidRPr="00D91DC9" w:rsidP="00D91DC9">
      <w:pPr>
        <w:pStyle w:val="ListBullet"/>
      </w:pPr>
      <w:r w:rsidRPr="00D91DC9">
        <w:t>laboratory information management and tracking systems</w:t>
      </w:r>
    </w:p>
    <w:p w:rsidR="00000000" w:rsidRPr="00D91DC9" w:rsidP="00D91DC9">
      <w:pPr>
        <w:pStyle w:val="ListBullet"/>
      </w:pPr>
      <w:r w:rsidRPr="00D91DC9">
        <w:t>specimen triage process for different types of tissue specime</w:t>
      </w:r>
      <w:r w:rsidRPr="00D91DC9">
        <w:t>ns including:</w:t>
      </w:r>
    </w:p>
    <w:p w:rsidR="00000000" w:rsidRPr="00D91DC9" w:rsidP="00D91DC9">
      <w:pPr>
        <w:pStyle w:val="ListBullet2"/>
      </w:pPr>
      <w:r w:rsidRPr="00D91DC9">
        <w:t xml:space="preserve">fresh </w:t>
      </w:r>
    </w:p>
    <w:p w:rsidR="00000000" w:rsidRPr="00D91DC9" w:rsidP="00D91DC9">
      <w:pPr>
        <w:pStyle w:val="ListBullet2"/>
      </w:pPr>
      <w:r w:rsidRPr="00D91DC9">
        <w:t xml:space="preserve">fixed </w:t>
      </w:r>
    </w:p>
    <w:p w:rsidR="00000000" w:rsidRPr="00D91DC9" w:rsidP="00D91DC9">
      <w:pPr>
        <w:pStyle w:val="ListBullet2"/>
      </w:pPr>
      <w:r w:rsidRPr="00D91DC9">
        <w:t>priority</w:t>
      </w:r>
    </w:p>
    <w:p w:rsidR="00000000" w:rsidRPr="00D91DC9" w:rsidP="00D91DC9">
      <w:pPr>
        <w:pStyle w:val="ListBullet2"/>
      </w:pPr>
      <w:r w:rsidRPr="00D91DC9">
        <w:t>paediatric</w:t>
      </w:r>
    </w:p>
    <w:p w:rsidR="00000000" w:rsidRPr="00D91DC9" w:rsidP="00D91DC9">
      <w:pPr>
        <w:pStyle w:val="ListBullet"/>
      </w:pPr>
      <w:r w:rsidRPr="00D91DC9">
        <w:t>systems to categorise tissue specimen complexity and the associated handling requirements (simple, non-complex and complex)</w:t>
      </w:r>
    </w:p>
    <w:p w:rsidR="00000000" w:rsidRPr="00D91DC9" w:rsidP="00D91DC9">
      <w:pPr>
        <w:pStyle w:val="ListBullet"/>
      </w:pPr>
      <w:r w:rsidRPr="00D91DC9">
        <w:t xml:space="preserve">existence and purpose of anatomical ordering of tissue specimens </w:t>
      </w:r>
    </w:p>
    <w:p w:rsidR="00000000" w:rsidRPr="00D91DC9" w:rsidP="00D91DC9">
      <w:pPr>
        <w:pStyle w:val="ListBullet"/>
      </w:pPr>
      <w:r w:rsidRPr="00D91DC9">
        <w:t>difference in vi</w:t>
      </w:r>
      <w:r w:rsidRPr="00D91DC9">
        <w:t xml:space="preserve">sual appearance of fresh versus fixed tissue </w:t>
      </w:r>
    </w:p>
    <w:p w:rsidR="00000000" w:rsidRPr="00D91DC9" w:rsidP="00D91DC9">
      <w:pPr>
        <w:pStyle w:val="ListBullet"/>
      </w:pPr>
      <w:r w:rsidRPr="00D91DC9">
        <w:t>basic aspects of subsequent histological procedures and impact of incorrect work practices in triage and allocation on subsequent processes including the quality of the final microscopic outcome</w:t>
      </w:r>
    </w:p>
    <w:p w:rsidR="00000000" w:rsidRPr="00D91DC9" w:rsidP="00D91DC9">
      <w:pPr>
        <w:pStyle w:val="ListBullet"/>
      </w:pPr>
      <w:r w:rsidRPr="00D91DC9">
        <w:t>legal, ethical and work health and safety (WHS) requirements specific to the work task including traceability, confidentiality and security requirements of all clinical information, and laboratory data and records and legal requirements relating to the use</w:t>
      </w:r>
      <w:r w:rsidRPr="00D91DC9">
        <w:t xml:space="preserve"> of human tissue.</w:t>
      </w:r>
    </w:p>
    <w:p w:rsidR="00000000" w:rsidRPr="00D91DC9" w:rsidP="00D91DC9">
      <w:pPr>
        <w:pStyle w:val="AllowPageBreak"/>
      </w:pPr>
    </w:p>
    <w:p w:rsidR="00000000" w:rsidRPr="00D91DC9" w:rsidP="00D91DC9">
      <w:pPr>
        <w:pStyle w:val="Heading1"/>
      </w:pPr>
      <w:bookmarkStart w:id="12" w:name="O_1257626"/>
      <w:bookmarkEnd w:id="12"/>
      <w:r w:rsidRPr="00D91DC9">
        <w:t>Assessment Conditions</w:t>
      </w:r>
    </w:p>
    <w:p w:rsidR="00000000" w:rsidRPr="00D91DC9" w:rsidP="00D34EFD">
      <w:pPr>
        <w:pStyle w:val="BodyText"/>
      </w:pPr>
      <w:r w:rsidRPr="00D91DC9">
        <w:t xml:space="preserve">Skills must have been demonstrated in the workplace or in a simulated environment that reflects workplace conditions and contingencies. The following conditions must be met for this unit: </w:t>
      </w:r>
    </w:p>
    <w:p w:rsidR="00000000" w:rsidRPr="00D91DC9" w:rsidP="00D91DC9">
      <w:pPr>
        <w:pStyle w:val="ListBullet"/>
      </w:pPr>
      <w:r w:rsidRPr="00D91DC9">
        <w:t xml:space="preserve">use of </w:t>
      </w:r>
      <w:r w:rsidRPr="00D91DC9">
        <w:t xml:space="preserve">suitable facilities, equipment and resources, including: </w:t>
      </w:r>
    </w:p>
    <w:p w:rsidR="00000000" w:rsidRPr="00D91DC9" w:rsidP="00D91DC9">
      <w:pPr>
        <w:pStyle w:val="ListBullet2"/>
      </w:pPr>
      <w:r w:rsidRPr="00D91DC9">
        <w:t>a laboratory with relevant equipment, specimens and consumables</w:t>
      </w:r>
    </w:p>
    <w:p w:rsidR="00000000" w:rsidRPr="00D91DC9" w:rsidP="00D91DC9">
      <w:pPr>
        <w:pStyle w:val="ListBullet2"/>
      </w:pPr>
      <w:r w:rsidRPr="00D91DC9">
        <w:t>laboratory information management system</w:t>
      </w:r>
    </w:p>
    <w:p w:rsidR="00000000" w:rsidRPr="00D91DC9" w:rsidP="00D91DC9">
      <w:pPr>
        <w:pStyle w:val="ListBullet2"/>
      </w:pPr>
      <w:r w:rsidRPr="00D91DC9">
        <w:t>workplace procedures.</w:t>
      </w:r>
    </w:p>
    <w:p w:rsidR="00000000" w:rsidRPr="00D91DC9" w:rsidP="00D34EFD">
      <w:pPr>
        <w:pStyle w:val="BodyText"/>
      </w:pPr>
      <w:r w:rsidRPr="00D91DC9">
        <w:t xml:space="preserve">Assessors must satisfy the NVR/AQTF mandatory competency requirements </w:t>
      </w:r>
      <w:r w:rsidRPr="00D91DC9">
        <w:t>for assessors.</w:t>
      </w:r>
    </w:p>
    <w:p w:rsidR="00000000" w:rsidRPr="00D91DC9" w:rsidP="00D91DC9">
      <w:pPr>
        <w:pStyle w:val="Heading1"/>
      </w:pPr>
      <w:bookmarkStart w:id="13" w:name="O_1257629"/>
      <w:bookmarkEnd w:id="13"/>
      <w:r w:rsidRPr="00D91DC9">
        <w:t>Links</w:t>
      </w:r>
    </w:p>
    <w:p w:rsidR="00000000" w:rsidRPr="00D91DC9" w:rsidP="00D34EFD">
      <w:pPr>
        <w:pStyle w:val="BodyText"/>
      </w:pPr>
      <w:r w:rsidRPr="00D91DC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914D4">
        <w:rPr>
          <w:rStyle w:val="Hyperlink"/>
        </w:rPr>
        <w:t>https://vetnet.gov.au/Pages/TrainingDocs.aspx?q=5c63a03b-4a6b-4ae5-9560-1e3c5f462baa</w:t>
      </w:r>
      <w:r>
        <w:fldChar w:fldCharType="end"/>
      </w:r>
    </w:p>
    <w:p w:rsidR="00000000" w:rsidRPr="00D91DC9" w:rsidP="00D91DC9"/>
    <w:sectPr w:rsidSect="00D91D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rsidRPr="00D34EFD" w:rsidP="00D34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FD" w:rsidP="00D91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EFD" w:rsidP="00D91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4EFD" w:rsidP="00D91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rsidP="00D91DC9">
    <w:pPr>
      <w:pStyle w:val="Footer"/>
      <w:framePr w:wrap="around"/>
    </w:pPr>
    <w:r>
      <w:fldChar w:fldCharType="begin"/>
    </w:r>
    <w:r>
      <w:instrText xml:space="preserve"> DOCPROPERTY  Subject  \* MERGEFORMAT </w:instrText>
    </w:r>
    <w:r>
      <w:fldChar w:fldCharType="separate"/>
    </w:r>
    <w:r w:rsidR="00D34EFD">
      <w:t>Approved</w:t>
    </w:r>
    <w:r w:rsidR="00D34EFD">
      <w:fldChar w:fldCharType="end"/>
    </w:r>
    <w:r>
      <w:tab/>
      <w:t xml:space="preserve">Page </w:t>
    </w:r>
    <w:r>
      <w:fldChar w:fldCharType="begin"/>
    </w:r>
    <w:r>
      <w:instrText xml:space="preserve"> PAGE  \* Arabic  \* MERGEFORMAT </w:instrText>
    </w:r>
    <w:r>
      <w:fldChar w:fldCharType="separate"/>
    </w:r>
    <w:r w:rsidR="00D34E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EFD">
      <w:rPr>
        <w:noProof/>
      </w:rPr>
      <w:t>4</w:t>
    </w:r>
    <w:r>
      <w:rPr>
        <w:noProof/>
      </w:rPr>
      <w:fldChar w:fldCharType="end"/>
    </w:r>
  </w:p>
  <w:p w:rsidR="00D91DC9" w:rsidP="00D91DC9">
    <w:pPr>
      <w:pStyle w:val="Footer"/>
      <w:framePr w:wrap="around"/>
    </w:pPr>
    <w:r>
      <w:t xml:space="preserve">© Commonwealth of Australia, </w:t>
    </w:r>
    <w:r>
      <w:fldChar w:fldCharType="begin"/>
    </w:r>
    <w:r>
      <w:instrText xml:space="preserve"> DATE  \@ "yyyy"  \* MERGEFORMAT </w:instrText>
    </w:r>
    <w:r>
      <w:fldChar w:fldCharType="separate"/>
    </w:r>
    <w:r w:rsidR="00D34EFD">
      <w:rPr>
        <w:noProof/>
      </w:rPr>
      <w:t>2025</w:t>
    </w:r>
    <w:r>
      <w:fldChar w:fldCharType="end"/>
    </w:r>
    <w:r>
      <w:tab/>
    </w:r>
    <w:r>
      <w:fldChar w:fldCharType="begin"/>
    </w:r>
    <w:r>
      <w:instrText xml:space="preserve"> DOCPROPERTY  Author  \* MERGEFORMAT </w:instrText>
    </w:r>
    <w:r>
      <w:fldChar w:fldCharType="separate"/>
    </w:r>
    <w:r w:rsidR="00D34EFD">
      <w:t>Manufacturing Industry Skills Alliance</w:t>
    </w:r>
    <w:r w:rsidR="00D34EFD">
      <w:fldChar w:fldCharType="end"/>
    </w:r>
  </w:p>
  <w:p w:rsidR="00D91DC9" w:rsidP="00D91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DC9" w:rsidRPr="00D34EFD" w:rsidP="00D34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EFD" w:rsidRPr="002D2AF8" w:rsidP="00D91DC9">
    <w:pPr>
      <w:pStyle w:val="Header"/>
      <w:framePr w:wrap="around"/>
    </w:pPr>
    <w:r>
      <w:fldChar w:fldCharType="begin"/>
    </w:r>
    <w:r>
      <w:instrText xml:space="preserve"> TITLE   \* MERGEFORMAT </w:instrText>
    </w:r>
    <w:r>
      <w:fldChar w:fldCharType="separate"/>
    </w:r>
    <w:r>
      <w:t>MSL974037 Triage and allocate tissue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4EFD" w:rsidP="00D91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9" w:rsidRPr="002D2AF8" w:rsidP="00D91DC9">
    <w:pPr>
      <w:pStyle w:val="Header"/>
      <w:framePr w:wrap="around"/>
    </w:pPr>
    <w:r>
      <w:fldChar w:fldCharType="begin"/>
    </w:r>
    <w:r>
      <w:instrText xml:space="preserve"> TITLE   \* MERGEFORMAT </w:instrText>
    </w:r>
    <w:r>
      <w:fldChar w:fldCharType="separate"/>
    </w:r>
    <w:r w:rsidR="00D34EFD">
      <w:t>MSL974037 Triage and allocate tissue specimens</w:t>
    </w:r>
    <w:r w:rsidR="00D34EFD">
      <w:fldChar w:fldCharType="end"/>
    </w:r>
    <w:r>
      <w:tab/>
      <w:t xml:space="preserve">Date this document was generated: </w:t>
    </w:r>
    <w:r>
      <w:fldChar w:fldCharType="begin"/>
    </w:r>
    <w:r>
      <w:instrText xml:space="preserve"> CREATEDATE  \@ "d MMMM yyyy"  \* MERGEFORMAT </w:instrText>
    </w:r>
    <w:r>
      <w:fldChar w:fldCharType="separate"/>
    </w:r>
    <w:r w:rsidR="00D34EFD">
      <w:rPr>
        <w:noProof/>
      </w:rPr>
      <w:t>1 March 2025</w:t>
    </w:r>
    <w:r>
      <w:fldChar w:fldCharType="end"/>
    </w:r>
  </w:p>
  <w:p w:rsidR="00D91DC9" w:rsidP="00D91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42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C1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385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DC9"/>
    <w:pPr>
      <w:spacing w:before="360" w:after="60"/>
      <w:outlineLvl w:val="0"/>
    </w:pPr>
    <w:rPr>
      <w:sz w:val="32"/>
    </w:rPr>
  </w:style>
  <w:style w:type="paragraph" w:styleId="Heading2">
    <w:name w:val="heading 2"/>
    <w:basedOn w:val="HeadingBase"/>
    <w:next w:val="BodyText"/>
    <w:link w:val="Heading2Char"/>
    <w:qFormat/>
    <w:rsid w:val="00D91DC9"/>
    <w:pPr>
      <w:keepLines/>
      <w:spacing w:before="240" w:after="120"/>
      <w:outlineLvl w:val="1"/>
    </w:pPr>
    <w:rPr>
      <w:sz w:val="28"/>
      <w:szCs w:val="40"/>
    </w:rPr>
  </w:style>
  <w:style w:type="paragraph" w:styleId="Heading3">
    <w:name w:val="heading 3"/>
    <w:basedOn w:val="HeadingBase"/>
    <w:next w:val="BodyText"/>
    <w:link w:val="Heading3Char"/>
    <w:qFormat/>
    <w:rsid w:val="00D91DC9"/>
    <w:pPr>
      <w:spacing w:before="180" w:after="120"/>
      <w:outlineLvl w:val="2"/>
    </w:pPr>
    <w:rPr>
      <w:spacing w:val="-10"/>
      <w:kern w:val="32"/>
    </w:rPr>
  </w:style>
  <w:style w:type="paragraph" w:styleId="Heading4">
    <w:name w:val="heading 4"/>
    <w:basedOn w:val="HeadingBase"/>
    <w:next w:val="BodyText"/>
    <w:link w:val="Heading4Char"/>
    <w:qFormat/>
    <w:rsid w:val="00D91DC9"/>
    <w:pPr>
      <w:spacing w:before="160" w:after="120"/>
      <w:outlineLvl w:val="3"/>
    </w:pPr>
    <w:rPr>
      <w:sz w:val="22"/>
    </w:rPr>
  </w:style>
  <w:style w:type="paragraph" w:styleId="Heading5">
    <w:name w:val="heading 5"/>
    <w:basedOn w:val="HeadingBase"/>
    <w:next w:val="Normal"/>
    <w:link w:val="Heading5Char"/>
    <w:qFormat/>
    <w:rsid w:val="00D91DC9"/>
    <w:pPr>
      <w:spacing w:before="80"/>
      <w:outlineLvl w:val="4"/>
    </w:pPr>
    <w:rPr>
      <w:color w:val="918585"/>
      <w:sz w:val="20"/>
    </w:rPr>
  </w:style>
  <w:style w:type="paragraph" w:styleId="Heading6">
    <w:name w:val="heading 6"/>
    <w:basedOn w:val="HeadingBase"/>
    <w:next w:val="Normal"/>
    <w:link w:val="Heading6Char"/>
    <w:qFormat/>
    <w:rsid w:val="00D91DC9"/>
    <w:pPr>
      <w:spacing w:before="60"/>
      <w:outlineLvl w:val="5"/>
    </w:pPr>
    <w:rPr>
      <w:color w:val="918585"/>
      <w:sz w:val="20"/>
    </w:rPr>
  </w:style>
  <w:style w:type="paragraph" w:styleId="Heading7">
    <w:name w:val="heading 7"/>
    <w:basedOn w:val="Normal"/>
    <w:next w:val="Normal"/>
    <w:link w:val="Heading7Char"/>
    <w:qFormat/>
    <w:rsid w:val="00D91DC9"/>
    <w:pPr>
      <w:ind w:left="720"/>
      <w:outlineLvl w:val="6"/>
    </w:pPr>
    <w:rPr>
      <w:i/>
    </w:rPr>
  </w:style>
  <w:style w:type="paragraph" w:styleId="Heading8">
    <w:name w:val="heading 8"/>
    <w:basedOn w:val="Normal"/>
    <w:next w:val="Normal"/>
    <w:link w:val="Heading8Char"/>
    <w:qFormat/>
    <w:rsid w:val="00D91DC9"/>
    <w:pPr>
      <w:ind w:left="720"/>
      <w:outlineLvl w:val="7"/>
    </w:pPr>
    <w:rPr>
      <w:i/>
    </w:rPr>
  </w:style>
  <w:style w:type="paragraph" w:styleId="Heading9">
    <w:name w:val="heading 9"/>
    <w:basedOn w:val="Normal"/>
    <w:next w:val="Normal"/>
    <w:link w:val="Heading9Char"/>
    <w:qFormat/>
    <w:rsid w:val="00D91DC9"/>
    <w:pPr>
      <w:ind w:left="720"/>
      <w:outlineLvl w:val="8"/>
    </w:pPr>
    <w:rPr>
      <w:i/>
    </w:rPr>
  </w:style>
  <w:style w:type="character" w:default="1" w:styleId="DefaultParagraphFont">
    <w:name w:val="Default Paragraph Font"/>
    <w:uiPriority w:val="1"/>
    <w:unhideWhenUsed/>
    <w:rsid w:val="00D91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DC9"/>
  </w:style>
  <w:style w:type="character" w:customStyle="1" w:styleId="Heading1Char">
    <w:name w:val="Heading 1 Char"/>
    <w:basedOn w:val="DefaultParagraphFont"/>
    <w:link w:val="Heading1"/>
    <w:rsid w:val="00D91DC9"/>
    <w:rPr>
      <w:rFonts w:ascii="Times New Roman" w:eastAsia="Times New Roman" w:hAnsi="Times New Roman" w:cs="Times New Roman"/>
      <w:b/>
      <w:sz w:val="32"/>
      <w:szCs w:val="20"/>
      <w:lang w:eastAsia="en-US"/>
    </w:rPr>
  </w:style>
  <w:style w:type="paragraph" w:styleId="BodyText">
    <w:name w:val="Body Text"/>
    <w:basedOn w:val="Normal"/>
    <w:link w:val="BodyTextChar"/>
    <w:rsid w:val="00D91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DC9"/>
    <w:rPr>
      <w:rFonts w:ascii="Times New Roman" w:eastAsia="Times New Roman" w:hAnsi="Times New Roman" w:cs="Times New Roman"/>
      <w:sz w:val="24"/>
      <w:lang w:eastAsia="en-US"/>
    </w:rPr>
  </w:style>
  <w:style w:type="paragraph" w:styleId="ListBullet">
    <w:name w:val="List Bullet"/>
    <w:basedOn w:val="List"/>
    <w:rsid w:val="00D91DC9"/>
    <w:pPr>
      <w:numPr>
        <w:numId w:val="12"/>
      </w:numPr>
      <w:tabs>
        <w:tab w:val="clear" w:pos="340"/>
      </w:tabs>
      <w:spacing w:before="40" w:after="40"/>
    </w:pPr>
  </w:style>
  <w:style w:type="character" w:customStyle="1" w:styleId="SpecialBold">
    <w:name w:val="Special Bold"/>
    <w:basedOn w:val="DefaultParagraphFont"/>
    <w:rsid w:val="00D91DC9"/>
    <w:rPr>
      <w:b/>
      <w:spacing w:val="0"/>
    </w:rPr>
  </w:style>
  <w:style w:type="paragraph" w:styleId="ListBullet2">
    <w:name w:val="List Bullet 2"/>
    <w:basedOn w:val="List2"/>
    <w:rsid w:val="00D91DC9"/>
    <w:pPr>
      <w:numPr>
        <w:numId w:val="13"/>
      </w:numPr>
      <w:tabs>
        <w:tab w:val="clear" w:pos="680"/>
      </w:tabs>
    </w:pPr>
  </w:style>
  <w:style w:type="paragraph" w:customStyle="1" w:styleId="SuperHeading">
    <w:name w:val="SuperHeading"/>
    <w:basedOn w:val="Normal"/>
    <w:rsid w:val="00D91DC9"/>
    <w:pPr>
      <w:spacing w:before="240" w:after="120"/>
      <w:outlineLvl w:val="0"/>
    </w:pPr>
    <w:rPr>
      <w:rFonts w:ascii="Times New Roman" w:hAnsi="Times New Roman"/>
      <w:b/>
      <w:sz w:val="32"/>
    </w:rPr>
  </w:style>
  <w:style w:type="paragraph" w:customStyle="1" w:styleId="AllowPageBreak">
    <w:name w:val="AllowPageBreak"/>
    <w:rsid w:val="00D91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DC9"/>
    <w:rPr>
      <w:rFonts w:ascii="Courier New" w:eastAsia="Times New Roman" w:hAnsi="Courier New" w:cs="Times New Roman"/>
      <w:i/>
      <w:szCs w:val="20"/>
      <w:lang w:eastAsia="en-US"/>
    </w:rPr>
  </w:style>
  <w:style w:type="paragraph" w:customStyle="1" w:styleId="HeadingBase">
    <w:name w:val="Heading Base"/>
    <w:rsid w:val="00D91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DC9"/>
    <w:pPr>
      <w:tabs>
        <w:tab w:val="right" w:leader="dot" w:pos="9072"/>
      </w:tabs>
      <w:ind w:left="567"/>
    </w:pPr>
    <w:rPr>
      <w:szCs w:val="22"/>
    </w:rPr>
  </w:style>
  <w:style w:type="paragraph" w:customStyle="1" w:styleId="TOCBase">
    <w:name w:val="TOC Base"/>
    <w:rsid w:val="00D91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DC9"/>
    <w:pPr>
      <w:tabs>
        <w:tab w:val="right" w:leader="dot" w:pos="9072"/>
      </w:tabs>
      <w:spacing w:before="40" w:after="40"/>
      <w:ind w:left="284"/>
    </w:pPr>
    <w:rPr>
      <w:rFonts w:ascii="Times New Roman" w:hAnsi="Times New Roman"/>
    </w:rPr>
  </w:style>
  <w:style w:type="paragraph" w:styleId="TOC1">
    <w:name w:val="toc 1"/>
    <w:basedOn w:val="TOCBase"/>
    <w:next w:val="Normal"/>
    <w:rsid w:val="00D91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DC9"/>
    <w:rPr>
      <w:rFonts w:ascii="Times New Roman" w:eastAsia="Times New Roman" w:hAnsi="Times New Roman" w:cs="Times New Roman"/>
      <w:sz w:val="16"/>
      <w:lang w:eastAsia="en-US"/>
    </w:rPr>
  </w:style>
  <w:style w:type="paragraph" w:styleId="Title">
    <w:name w:val="Title"/>
    <w:basedOn w:val="HeadingBase"/>
    <w:link w:val="TitleChar"/>
    <w:qFormat/>
    <w:rsid w:val="00D91DC9"/>
    <w:pPr>
      <w:spacing w:before="5040"/>
      <w:jc w:val="center"/>
    </w:pPr>
    <w:rPr>
      <w:sz w:val="48"/>
      <w:szCs w:val="72"/>
      <w:lang w:val="en-US"/>
    </w:rPr>
  </w:style>
  <w:style w:type="character" w:customStyle="1" w:styleId="TitleChar">
    <w:name w:val="Title Char"/>
    <w:basedOn w:val="DefaultParagraphFont"/>
    <w:link w:val="Title"/>
    <w:rsid w:val="00D91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DC9"/>
    <w:pPr>
      <w:tabs>
        <w:tab w:val="left" w:pos="3600"/>
        <w:tab w:val="left" w:pos="3958"/>
      </w:tabs>
    </w:pPr>
  </w:style>
  <w:style w:type="paragraph" w:styleId="List">
    <w:name w:val="List"/>
    <w:basedOn w:val="BodyText"/>
    <w:next w:val="BodyText"/>
    <w:rsid w:val="00D91DC9"/>
    <w:pPr>
      <w:tabs>
        <w:tab w:val="left" w:pos="340"/>
      </w:tabs>
      <w:spacing w:before="60" w:after="60"/>
      <w:ind w:left="340" w:hanging="340"/>
    </w:pPr>
  </w:style>
  <w:style w:type="paragraph" w:customStyle="1" w:styleId="Note">
    <w:name w:val="Note"/>
    <w:basedOn w:val="BodyText"/>
    <w:rsid w:val="00D91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DC9"/>
    <w:pPr>
      <w:framePr w:wrap="auto" w:hAnchor="text" w:y="6049"/>
    </w:pPr>
    <w:rPr>
      <w:color w:val="000000"/>
      <w:sz w:val="40"/>
    </w:rPr>
  </w:style>
  <w:style w:type="paragraph" w:customStyle="1" w:styleId="TOCTitle">
    <w:name w:val="TOCTitle"/>
    <w:basedOn w:val="Heading1"/>
    <w:rsid w:val="00D91DC9"/>
    <w:pPr>
      <w:spacing w:after="240"/>
      <w:jc w:val="center"/>
      <w:outlineLvl w:val="9"/>
    </w:pPr>
    <w:rPr>
      <w:caps/>
    </w:rPr>
  </w:style>
  <w:style w:type="paragraph" w:customStyle="1" w:styleId="Version">
    <w:name w:val="Version"/>
    <w:rsid w:val="00D91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DC9"/>
    <w:pPr>
      <w:keepNext w:val="0"/>
      <w:tabs>
        <w:tab w:val="right" w:pos="4176"/>
      </w:tabs>
      <w:ind w:left="198" w:hanging="198"/>
    </w:pPr>
    <w:rPr>
      <w:rFonts w:ascii="Garamond" w:hAnsi="Garamond"/>
    </w:rPr>
  </w:style>
  <w:style w:type="paragraph" w:styleId="IndexHeading">
    <w:name w:val="index heading"/>
    <w:basedOn w:val="Normal"/>
    <w:next w:val="Index1"/>
    <w:semiHidden/>
    <w:rsid w:val="00D91DC9"/>
    <w:pPr>
      <w:spacing w:before="120" w:after="120"/>
    </w:pPr>
    <w:rPr>
      <w:rFonts w:ascii="Arial" w:hAnsi="Arial"/>
      <w:b/>
      <w:color w:val="918585"/>
      <w:sz w:val="24"/>
    </w:rPr>
  </w:style>
  <w:style w:type="paragraph" w:styleId="Header">
    <w:name w:val="header"/>
    <w:basedOn w:val="Normal"/>
    <w:link w:val="HeaderChar"/>
    <w:rsid w:val="00D91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DC9"/>
    <w:rPr>
      <w:rFonts w:ascii="Times New Roman" w:eastAsia="Times New Roman" w:hAnsi="Times New Roman" w:cs="Times New Roman"/>
      <w:sz w:val="16"/>
      <w:szCs w:val="20"/>
      <w:lang w:val="en-GB" w:eastAsia="en-US"/>
    </w:rPr>
  </w:style>
  <w:style w:type="paragraph" w:customStyle="1" w:styleId="Chapter">
    <w:name w:val="Chapter"/>
    <w:basedOn w:val="Normal"/>
    <w:rsid w:val="00D91DC9"/>
    <w:pPr>
      <w:spacing w:before="240"/>
    </w:pPr>
    <w:rPr>
      <w:rFonts w:ascii="Times New Roman" w:hAnsi="Times New Roman"/>
      <w:smallCaps/>
      <w:spacing w:val="80"/>
      <w:sz w:val="28"/>
    </w:rPr>
  </w:style>
  <w:style w:type="paragraph" w:customStyle="1" w:styleId="InChapter">
    <w:name w:val="InChapter"/>
    <w:basedOn w:val="Heading3"/>
    <w:rsid w:val="00D91DC9"/>
    <w:pPr>
      <w:spacing w:after="240"/>
      <w:outlineLvl w:val="9"/>
    </w:pPr>
    <w:rPr>
      <w:noProof/>
    </w:rPr>
  </w:style>
  <w:style w:type="paragraph" w:styleId="Index2">
    <w:name w:val="index 2"/>
    <w:basedOn w:val="Normal"/>
    <w:next w:val="Normal"/>
    <w:semiHidden/>
    <w:rsid w:val="00D91DC9"/>
    <w:pPr>
      <w:tabs>
        <w:tab w:val="right" w:pos="4176"/>
      </w:tabs>
      <w:ind w:left="568" w:hanging="284"/>
    </w:pPr>
    <w:rPr>
      <w:rFonts w:ascii="Garamond" w:hAnsi="Garamond"/>
    </w:rPr>
  </w:style>
  <w:style w:type="paragraph" w:customStyle="1" w:styleId="Byline">
    <w:name w:val="Byline"/>
    <w:rsid w:val="00D91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DC9"/>
    <w:pPr>
      <w:tabs>
        <w:tab w:val="clear" w:pos="3600"/>
        <w:tab w:val="clear" w:pos="3958"/>
      </w:tabs>
      <w:jc w:val="right"/>
    </w:pPr>
  </w:style>
  <w:style w:type="character" w:styleId="Emphasis">
    <w:name w:val="Emphasis"/>
    <w:basedOn w:val="DefaultParagraphFont"/>
    <w:qFormat/>
    <w:rsid w:val="00D91DC9"/>
    <w:rPr>
      <w:i/>
    </w:rPr>
  </w:style>
  <w:style w:type="paragraph" w:styleId="Caption">
    <w:name w:val="caption"/>
    <w:basedOn w:val="BodyText"/>
    <w:next w:val="Normal"/>
    <w:qFormat/>
    <w:rsid w:val="00D91DC9"/>
    <w:pPr>
      <w:framePr w:w="2268" w:hSpace="181" w:vSpace="181" w:wrap="around" w:vAnchor="text" w:hAnchor="page" w:x="1135" w:y="285" w:anchorLock="1"/>
    </w:pPr>
    <w:rPr>
      <w:i/>
    </w:rPr>
  </w:style>
  <w:style w:type="paragraph" w:customStyle="1" w:styleId="MiniTOCTitle">
    <w:name w:val="MiniTOCTitle"/>
    <w:basedOn w:val="Heading4"/>
    <w:rsid w:val="00D91DC9"/>
    <w:pPr>
      <w:spacing w:before="240"/>
      <w:outlineLvl w:val="9"/>
    </w:pPr>
    <w:rPr>
      <w:noProof/>
      <w:sz w:val="24"/>
    </w:rPr>
  </w:style>
  <w:style w:type="paragraph" w:customStyle="1" w:styleId="MiniTOCItem">
    <w:name w:val="MiniTOCItem"/>
    <w:basedOn w:val="ListBullet"/>
    <w:rsid w:val="00D91DC9"/>
    <w:pPr>
      <w:numPr>
        <w:numId w:val="0"/>
      </w:numPr>
      <w:tabs>
        <w:tab w:val="right" w:leader="dot" w:pos="6521"/>
      </w:tabs>
      <w:spacing w:before="0" w:after="0"/>
    </w:pPr>
  </w:style>
  <w:style w:type="paragraph" w:customStyle="1" w:styleId="TOFTitle">
    <w:name w:val="TOFTitle"/>
    <w:basedOn w:val="TOCTitle"/>
    <w:rsid w:val="00D91DC9"/>
  </w:style>
  <w:style w:type="paragraph" w:styleId="TableofFigures">
    <w:name w:val="table of figures"/>
    <w:basedOn w:val="Normal"/>
    <w:next w:val="Normal"/>
    <w:semiHidden/>
    <w:rsid w:val="00D91DC9"/>
    <w:pPr>
      <w:tabs>
        <w:tab w:val="right" w:leader="dot" w:pos="9072"/>
      </w:tabs>
      <w:ind w:left="970" w:hanging="403"/>
    </w:pPr>
    <w:rPr>
      <w:rFonts w:ascii="Times New Roman" w:hAnsi="Times New Roman"/>
      <w:b/>
    </w:rPr>
  </w:style>
  <w:style w:type="paragraph" w:styleId="ListNumber">
    <w:name w:val="List Number"/>
    <w:basedOn w:val="List"/>
    <w:rsid w:val="00D91DC9"/>
    <w:pPr>
      <w:numPr>
        <w:numId w:val="15"/>
      </w:numPr>
      <w:tabs>
        <w:tab w:val="clear" w:pos="340"/>
      </w:tabs>
    </w:pPr>
  </w:style>
  <w:style w:type="character" w:customStyle="1" w:styleId="WingdingSymbols">
    <w:name w:val="Wingding Symbols"/>
    <w:rsid w:val="00D91DC9"/>
    <w:rPr>
      <w:rFonts w:ascii="Wingdings" w:hAnsi="Wingdings"/>
    </w:rPr>
  </w:style>
  <w:style w:type="paragraph" w:customStyle="1" w:styleId="TableHeading">
    <w:name w:val="Table Heading"/>
    <w:basedOn w:val="HeadingBase"/>
    <w:rsid w:val="00D91DC9"/>
    <w:pPr>
      <w:keepLines/>
      <w:pBdr>
        <w:bottom w:val="single" w:sz="6" w:space="1" w:color="918585"/>
      </w:pBdr>
      <w:spacing w:before="240"/>
    </w:pPr>
  </w:style>
  <w:style w:type="character" w:customStyle="1" w:styleId="HotSpot">
    <w:name w:val="HotSpot"/>
    <w:rsid w:val="00D91DC9"/>
    <w:rPr>
      <w:color w:val="0033CC"/>
      <w:u w:val="none"/>
    </w:rPr>
  </w:style>
  <w:style w:type="paragraph" w:customStyle="1" w:styleId="BodyTextRight">
    <w:name w:val="Body Text Right"/>
    <w:basedOn w:val="BodyText"/>
    <w:rsid w:val="00D91DC9"/>
    <w:pPr>
      <w:spacing w:before="0" w:after="0"/>
      <w:jc w:val="right"/>
    </w:pPr>
  </w:style>
  <w:style w:type="paragraph" w:styleId="Index3">
    <w:name w:val="index 3"/>
    <w:basedOn w:val="ListNumber2"/>
    <w:next w:val="Normal"/>
    <w:semiHidden/>
    <w:rsid w:val="00D91DC9"/>
    <w:pPr>
      <w:numPr>
        <w:numId w:val="0"/>
      </w:numPr>
      <w:tabs>
        <w:tab w:val="right" w:leader="dot" w:pos="4176"/>
      </w:tabs>
    </w:pPr>
  </w:style>
  <w:style w:type="paragraph" w:styleId="ListNumber2">
    <w:name w:val="List Number 2"/>
    <w:basedOn w:val="List2"/>
    <w:rsid w:val="00D91DC9"/>
    <w:pPr>
      <w:numPr>
        <w:numId w:val="10"/>
      </w:numPr>
      <w:tabs>
        <w:tab w:val="clear" w:pos="1060"/>
      </w:tabs>
    </w:pPr>
  </w:style>
  <w:style w:type="paragraph" w:customStyle="1" w:styleId="MarginNote">
    <w:name w:val="Margin Note"/>
    <w:basedOn w:val="BodyText"/>
    <w:rsid w:val="00D91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DC9"/>
    <w:rPr>
      <w:sz w:val="32"/>
    </w:rPr>
  </w:style>
  <w:style w:type="paragraph" w:customStyle="1" w:styleId="HeadingProcedure">
    <w:name w:val="Heading Procedure"/>
    <w:basedOn w:val="HeadingBase"/>
    <w:next w:val="Normal"/>
    <w:rsid w:val="00D91DC9"/>
    <w:pPr>
      <w:tabs>
        <w:tab w:val="left" w:pos="0"/>
      </w:tabs>
      <w:spacing w:before="120" w:after="60"/>
    </w:pPr>
    <w:rPr>
      <w:i/>
      <w:color w:val="918585"/>
      <w:sz w:val="22"/>
    </w:rPr>
  </w:style>
  <w:style w:type="paragraph" w:customStyle="1" w:styleId="TableBodyText">
    <w:name w:val="Table Body Text"/>
    <w:basedOn w:val="BodyText"/>
    <w:rsid w:val="00D91DC9"/>
    <w:pPr>
      <w:spacing w:before="60" w:after="60"/>
    </w:pPr>
  </w:style>
  <w:style w:type="paragraph" w:styleId="ListContinue">
    <w:name w:val="List Continue"/>
    <w:basedOn w:val="List"/>
    <w:rsid w:val="00D91DC9"/>
    <w:pPr>
      <w:ind w:firstLine="0"/>
    </w:pPr>
  </w:style>
  <w:style w:type="paragraph" w:customStyle="1" w:styleId="ListNote">
    <w:name w:val="List Note"/>
    <w:basedOn w:val="List"/>
    <w:rsid w:val="00D91DC9"/>
    <w:pPr>
      <w:pBdr>
        <w:top w:val="single" w:sz="6" w:space="2" w:color="918585"/>
        <w:bottom w:val="single" w:sz="6" w:space="2" w:color="918585"/>
      </w:pBdr>
      <w:tabs>
        <w:tab w:val="left" w:pos="1021"/>
      </w:tabs>
      <w:ind w:firstLine="0"/>
    </w:pPr>
  </w:style>
  <w:style w:type="paragraph" w:customStyle="1" w:styleId="Warning">
    <w:name w:val="Warning"/>
    <w:basedOn w:val="BodyText"/>
    <w:rsid w:val="00D91DC9"/>
    <w:pPr>
      <w:shd w:val="clear" w:color="auto" w:fill="D9D9D9"/>
      <w:tabs>
        <w:tab w:val="left" w:pos="992"/>
      </w:tabs>
      <w:ind w:left="119" w:right="119"/>
    </w:pPr>
    <w:rPr>
      <w:sz w:val="20"/>
    </w:rPr>
  </w:style>
  <w:style w:type="paragraph" w:customStyle="1" w:styleId="MarginIcons">
    <w:name w:val="Margin Icons"/>
    <w:basedOn w:val="BodyText"/>
    <w:rsid w:val="00D91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DC9"/>
    <w:rPr>
      <w:rFonts w:ascii="Courier New" w:hAnsi="Courier New"/>
    </w:rPr>
  </w:style>
  <w:style w:type="paragraph" w:customStyle="1" w:styleId="NoteBullet">
    <w:name w:val="Note Bullet"/>
    <w:basedOn w:val="Note"/>
    <w:rsid w:val="00D91DC9"/>
    <w:pPr>
      <w:tabs>
        <w:tab w:val="clear" w:pos="680"/>
      </w:tabs>
      <w:spacing w:before="60" w:after="60"/>
    </w:pPr>
  </w:style>
  <w:style w:type="paragraph" w:customStyle="1" w:styleId="SubHeading2">
    <w:name w:val="SubHeading2"/>
    <w:basedOn w:val="HeadingBase"/>
    <w:rsid w:val="00D91DC9"/>
    <w:pPr>
      <w:spacing w:before="240" w:after="60"/>
    </w:pPr>
    <w:rPr>
      <w:sz w:val="20"/>
    </w:rPr>
  </w:style>
  <w:style w:type="paragraph" w:customStyle="1" w:styleId="SubHeading1">
    <w:name w:val="SubHeading1"/>
    <w:basedOn w:val="HeadingBase"/>
    <w:rsid w:val="00D91DC9"/>
    <w:pPr>
      <w:spacing w:before="240" w:after="60"/>
    </w:pPr>
    <w:rPr>
      <w:color w:val="918585"/>
      <w:sz w:val="22"/>
    </w:rPr>
  </w:style>
  <w:style w:type="paragraph" w:customStyle="1" w:styleId="SideHeading">
    <w:name w:val="Side Heading"/>
    <w:basedOn w:val="HeadingBase"/>
    <w:rsid w:val="00D91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DC9"/>
    <w:pPr>
      <w:tabs>
        <w:tab w:val="num" w:pos="360"/>
      </w:tabs>
    </w:pPr>
  </w:style>
  <w:style w:type="paragraph" w:styleId="PlainText">
    <w:name w:val="Plain Text"/>
    <w:basedOn w:val="Normal"/>
    <w:link w:val="PlainTextChar"/>
    <w:rsid w:val="00D91DC9"/>
    <w:rPr>
      <w:sz w:val="20"/>
    </w:rPr>
  </w:style>
  <w:style w:type="character" w:customStyle="1" w:styleId="PlainTextChar">
    <w:name w:val="Plain Text Char"/>
    <w:basedOn w:val="DefaultParagraphFont"/>
    <w:link w:val="PlainText"/>
    <w:rsid w:val="00D91DC9"/>
    <w:rPr>
      <w:rFonts w:ascii="Courier New" w:eastAsia="Times New Roman" w:hAnsi="Courier New" w:cs="Times New Roman"/>
      <w:sz w:val="20"/>
      <w:szCs w:val="20"/>
      <w:lang w:eastAsia="en-US"/>
    </w:rPr>
  </w:style>
  <w:style w:type="character" w:customStyle="1" w:styleId="MenuOption">
    <w:name w:val="Menu Option"/>
    <w:basedOn w:val="DefaultParagraphFont"/>
    <w:rsid w:val="00D91DC9"/>
    <w:rPr>
      <w:b/>
      <w:smallCaps/>
    </w:rPr>
  </w:style>
  <w:style w:type="paragraph" w:customStyle="1" w:styleId="TableListNumber">
    <w:name w:val="Table List Number"/>
    <w:basedOn w:val="ListNumber"/>
    <w:rsid w:val="00D91DC9"/>
    <w:pPr>
      <w:numPr>
        <w:numId w:val="0"/>
      </w:numPr>
    </w:pPr>
  </w:style>
  <w:style w:type="paragraph" w:styleId="TOC4">
    <w:name w:val="toc 4"/>
    <w:basedOn w:val="TOCBase"/>
    <w:next w:val="Normal"/>
    <w:semiHidden/>
    <w:rsid w:val="00D91DC9"/>
    <w:pPr>
      <w:tabs>
        <w:tab w:val="right" w:leader="dot" w:pos="9071"/>
      </w:tabs>
      <w:ind w:left="1701"/>
    </w:pPr>
  </w:style>
  <w:style w:type="paragraph" w:customStyle="1" w:styleId="ListAlpha">
    <w:name w:val="List Alpha"/>
    <w:basedOn w:val="List"/>
    <w:rsid w:val="00D91DC9"/>
    <w:pPr>
      <w:numPr>
        <w:numId w:val="9"/>
      </w:numPr>
    </w:pPr>
  </w:style>
  <w:style w:type="paragraph" w:customStyle="1" w:styleId="ListAlpha2">
    <w:name w:val="List Alpha 2"/>
    <w:basedOn w:val="List2"/>
    <w:rsid w:val="00D91DC9"/>
    <w:pPr>
      <w:numPr>
        <w:numId w:val="8"/>
      </w:numPr>
    </w:pPr>
  </w:style>
  <w:style w:type="paragraph" w:styleId="List2">
    <w:name w:val="List 2"/>
    <w:basedOn w:val="BodyText"/>
    <w:rsid w:val="00D91DC9"/>
    <w:pPr>
      <w:tabs>
        <w:tab w:val="left" w:pos="680"/>
      </w:tabs>
      <w:spacing w:before="60" w:after="60"/>
      <w:ind w:left="680" w:hanging="340"/>
    </w:pPr>
  </w:style>
  <w:style w:type="paragraph" w:styleId="List3">
    <w:name w:val="List 3"/>
    <w:basedOn w:val="BodyText"/>
    <w:rsid w:val="00D91DC9"/>
    <w:pPr>
      <w:tabs>
        <w:tab w:val="left" w:pos="1021"/>
      </w:tabs>
      <w:spacing w:before="60" w:after="60"/>
      <w:ind w:left="1020" w:hanging="340"/>
    </w:pPr>
  </w:style>
  <w:style w:type="paragraph" w:styleId="List4">
    <w:name w:val="List 4"/>
    <w:basedOn w:val="BodyText"/>
    <w:rsid w:val="00D91DC9"/>
    <w:pPr>
      <w:tabs>
        <w:tab w:val="left" w:pos="1361"/>
      </w:tabs>
      <w:spacing w:before="60" w:after="60"/>
      <w:ind w:left="1361" w:hanging="340"/>
    </w:pPr>
  </w:style>
  <w:style w:type="paragraph" w:styleId="List5">
    <w:name w:val="List 5"/>
    <w:basedOn w:val="BodyText"/>
    <w:rsid w:val="00D91DC9"/>
    <w:pPr>
      <w:tabs>
        <w:tab w:val="left" w:pos="1701"/>
      </w:tabs>
      <w:spacing w:before="60" w:after="60"/>
      <w:ind w:left="1701" w:hanging="340"/>
    </w:pPr>
  </w:style>
  <w:style w:type="paragraph" w:styleId="ListBullet3">
    <w:name w:val="List Bullet 3"/>
    <w:basedOn w:val="List3"/>
    <w:rsid w:val="00D91DC9"/>
    <w:pPr>
      <w:numPr>
        <w:numId w:val="14"/>
      </w:numPr>
      <w:tabs>
        <w:tab w:val="clear" w:pos="1021"/>
      </w:tabs>
      <w:ind w:left="1037" w:hanging="357"/>
    </w:pPr>
  </w:style>
  <w:style w:type="paragraph" w:styleId="ListBullet4">
    <w:name w:val="List Bullet 4"/>
    <w:basedOn w:val="List4"/>
    <w:rsid w:val="00D91DC9"/>
    <w:pPr>
      <w:numPr>
        <w:numId w:val="3"/>
      </w:numPr>
      <w:tabs>
        <w:tab w:val="clear" w:pos="1361"/>
      </w:tabs>
    </w:pPr>
  </w:style>
  <w:style w:type="paragraph" w:styleId="ListBullet5">
    <w:name w:val="List Bullet 5"/>
    <w:basedOn w:val="List5"/>
    <w:rsid w:val="00D91DC9"/>
    <w:pPr>
      <w:numPr>
        <w:numId w:val="4"/>
      </w:numPr>
    </w:pPr>
  </w:style>
  <w:style w:type="paragraph" w:styleId="ListContinue2">
    <w:name w:val="List Continue 2"/>
    <w:basedOn w:val="List2"/>
    <w:rsid w:val="00D91DC9"/>
    <w:pPr>
      <w:ind w:firstLine="0"/>
    </w:pPr>
  </w:style>
  <w:style w:type="paragraph" w:styleId="ListContinue3">
    <w:name w:val="List Continue 3"/>
    <w:basedOn w:val="List3"/>
    <w:rsid w:val="00D91DC9"/>
    <w:pPr>
      <w:ind w:left="1021" w:firstLine="0"/>
    </w:pPr>
  </w:style>
  <w:style w:type="paragraph" w:styleId="ListContinue4">
    <w:name w:val="List Continue 4"/>
    <w:basedOn w:val="List4"/>
    <w:rsid w:val="00D91DC9"/>
    <w:pPr>
      <w:ind w:firstLine="0"/>
    </w:pPr>
  </w:style>
  <w:style w:type="paragraph" w:styleId="ListContinue5">
    <w:name w:val="List Continue 5"/>
    <w:basedOn w:val="List5"/>
    <w:rsid w:val="00D91DC9"/>
    <w:pPr>
      <w:ind w:firstLine="0"/>
    </w:pPr>
  </w:style>
  <w:style w:type="paragraph" w:styleId="ListNumber3">
    <w:name w:val="List Number 3"/>
    <w:basedOn w:val="List3"/>
    <w:rsid w:val="00D91DC9"/>
    <w:pPr>
      <w:numPr>
        <w:numId w:val="5"/>
      </w:numPr>
    </w:pPr>
  </w:style>
  <w:style w:type="paragraph" w:styleId="ListNumber4">
    <w:name w:val="List Number 4"/>
    <w:basedOn w:val="List4"/>
    <w:rsid w:val="00D91DC9"/>
    <w:pPr>
      <w:numPr>
        <w:numId w:val="6"/>
      </w:numPr>
    </w:pPr>
  </w:style>
  <w:style w:type="paragraph" w:styleId="ListNumber5">
    <w:name w:val="List Number 5"/>
    <w:basedOn w:val="List5"/>
    <w:rsid w:val="00D91DC9"/>
    <w:pPr>
      <w:numPr>
        <w:numId w:val="7"/>
      </w:numPr>
    </w:pPr>
  </w:style>
  <w:style w:type="paragraph" w:styleId="BlockText">
    <w:name w:val="Block Text"/>
    <w:basedOn w:val="Normal"/>
    <w:rsid w:val="00D91DC9"/>
    <w:pPr>
      <w:spacing w:after="120"/>
      <w:ind w:left="1440" w:right="1440"/>
    </w:pPr>
  </w:style>
  <w:style w:type="character" w:customStyle="1" w:styleId="Subscript">
    <w:name w:val="Subscript"/>
    <w:basedOn w:val="DefaultParagraphFont"/>
    <w:rsid w:val="00D91DC9"/>
    <w:rPr>
      <w:sz w:val="16"/>
      <w:vertAlign w:val="subscript"/>
    </w:rPr>
  </w:style>
  <w:style w:type="character" w:customStyle="1" w:styleId="Superscript">
    <w:name w:val="Superscript"/>
    <w:basedOn w:val="DefaultParagraphFont"/>
    <w:rsid w:val="00D91DC9"/>
    <w:rPr>
      <w:sz w:val="16"/>
      <w:vertAlign w:val="superscript"/>
    </w:rPr>
  </w:style>
  <w:style w:type="character" w:customStyle="1" w:styleId="Symbols">
    <w:name w:val="Symbols"/>
    <w:basedOn w:val="DefaultParagraphFont"/>
    <w:rsid w:val="00D91DC9"/>
    <w:rPr>
      <w:rFonts w:ascii="Symbol" w:hAnsi="Symbol"/>
    </w:rPr>
  </w:style>
  <w:style w:type="character" w:customStyle="1" w:styleId="MenuOptions">
    <w:name w:val="Menu Options"/>
    <w:basedOn w:val="DefaultParagraphFont"/>
    <w:rsid w:val="00D91DC9"/>
    <w:rPr>
      <w:rFonts w:ascii="Arial Narrow" w:hAnsi="Arial Narrow"/>
      <w:smallCaps/>
    </w:rPr>
  </w:style>
  <w:style w:type="character" w:customStyle="1" w:styleId="Buttons">
    <w:name w:val="Buttons"/>
    <w:basedOn w:val="DefaultParagraphFont"/>
    <w:rsid w:val="00D91DC9"/>
    <w:rPr>
      <w:b/>
    </w:rPr>
  </w:style>
  <w:style w:type="character" w:customStyle="1" w:styleId="Underlined">
    <w:name w:val="Underlined"/>
    <w:basedOn w:val="DefaultParagraphFont"/>
    <w:rsid w:val="00D91DC9"/>
    <w:rPr>
      <w:u w:val="single"/>
    </w:rPr>
  </w:style>
  <w:style w:type="paragraph" w:customStyle="1" w:styleId="TableBodyTextRight">
    <w:name w:val="Table Body Text Right"/>
    <w:basedOn w:val="TableBodyText"/>
    <w:rsid w:val="00D91DC9"/>
    <w:pPr>
      <w:widowControl w:val="0"/>
      <w:autoSpaceDE w:val="0"/>
      <w:autoSpaceDN w:val="0"/>
      <w:adjustRightInd w:val="0"/>
      <w:jc w:val="right"/>
    </w:pPr>
    <w:rPr>
      <w:rFonts w:cs="Arial"/>
      <w:szCs w:val="18"/>
    </w:rPr>
  </w:style>
  <w:style w:type="paragraph" w:customStyle="1" w:styleId="CopyrightText">
    <w:name w:val="Copyright Text"/>
    <w:basedOn w:val="BodyText"/>
    <w:rsid w:val="00D91DC9"/>
    <w:rPr>
      <w:sz w:val="18"/>
    </w:rPr>
  </w:style>
  <w:style w:type="paragraph" w:customStyle="1" w:styleId="BodySmallRight">
    <w:name w:val="Body Small Right"/>
    <w:basedOn w:val="BodyTextRight"/>
    <w:rsid w:val="00D91DC9"/>
    <w:rPr>
      <w:sz w:val="18"/>
      <w:szCs w:val="18"/>
    </w:rPr>
  </w:style>
  <w:style w:type="paragraph" w:customStyle="1" w:styleId="MarginEdition">
    <w:name w:val="Margin Edition"/>
    <w:basedOn w:val="MarginNote"/>
    <w:rsid w:val="00D91DC9"/>
    <w:pPr>
      <w:spacing w:before="0" w:after="0"/>
    </w:pPr>
    <w:rPr>
      <w:rFonts w:ascii="Times New Roman" w:hAnsi="Times New Roman"/>
      <w:color w:val="999999"/>
    </w:rPr>
  </w:style>
  <w:style w:type="paragraph" w:customStyle="1" w:styleId="Spacer">
    <w:name w:val="Spacer"/>
    <w:basedOn w:val="Normal"/>
    <w:rsid w:val="00D91DC9"/>
    <w:rPr>
      <w:sz w:val="2"/>
      <w:szCs w:val="2"/>
    </w:rPr>
  </w:style>
  <w:style w:type="character" w:customStyle="1" w:styleId="Small">
    <w:name w:val="Small"/>
    <w:basedOn w:val="DefaultParagraphFont"/>
    <w:rsid w:val="00D91DC9"/>
    <w:rPr>
      <w:sz w:val="16"/>
    </w:rPr>
  </w:style>
  <w:style w:type="paragraph" w:customStyle="1" w:styleId="WideTable">
    <w:name w:val="Wide Table"/>
    <w:basedOn w:val="Normal"/>
    <w:rsid w:val="00D91DC9"/>
    <w:pPr>
      <w:ind w:left="-1418"/>
    </w:pPr>
    <w:rPr>
      <w:sz w:val="2"/>
      <w:szCs w:val="2"/>
    </w:rPr>
  </w:style>
  <w:style w:type="character" w:styleId="PageNumber">
    <w:name w:val="page number"/>
    <w:basedOn w:val="DefaultParagraphFont"/>
    <w:rsid w:val="00D91DC9"/>
  </w:style>
  <w:style w:type="paragraph" w:styleId="Quote">
    <w:name w:val="Quote"/>
    <w:basedOn w:val="Heading1"/>
    <w:link w:val="QuoteChar"/>
    <w:qFormat/>
    <w:rsid w:val="00D91DC9"/>
    <w:rPr>
      <w:b w:val="0"/>
      <w:sz w:val="72"/>
      <w:szCs w:val="72"/>
      <w:lang w:val="en-NZ"/>
    </w:rPr>
  </w:style>
  <w:style w:type="character" w:customStyle="1" w:styleId="QuoteChar">
    <w:name w:val="Quote Char"/>
    <w:basedOn w:val="DefaultParagraphFont"/>
    <w:link w:val="Quote"/>
    <w:rsid w:val="00D91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DC9"/>
    <w:pPr>
      <w:pageBreakBefore/>
    </w:pPr>
  </w:style>
  <w:style w:type="paragraph" w:customStyle="1" w:styleId="Border">
    <w:name w:val="Border"/>
    <w:basedOn w:val="Normal"/>
    <w:qFormat/>
    <w:rsid w:val="00D91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DC9"/>
    <w:rPr>
      <w:b/>
      <w:bCs/>
      <w:i/>
      <w:iCs/>
      <w:color w:val="auto"/>
    </w:rPr>
  </w:style>
  <w:style w:type="paragraph" w:styleId="IntenseQuote">
    <w:name w:val="Intense Quote"/>
    <w:basedOn w:val="Normal"/>
    <w:next w:val="Normal"/>
    <w:link w:val="IntenseQuoteChar"/>
    <w:uiPriority w:val="30"/>
    <w:qFormat/>
    <w:rsid w:val="00D91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DC9"/>
    <w:rPr>
      <w:smallCaps/>
      <w:color w:val="auto"/>
      <w:u w:val="single"/>
    </w:rPr>
  </w:style>
  <w:style w:type="character" w:styleId="IntenseReference">
    <w:name w:val="Intense Reference"/>
    <w:basedOn w:val="DefaultParagraphFont"/>
    <w:uiPriority w:val="32"/>
    <w:qFormat/>
    <w:rsid w:val="00D91DC9"/>
    <w:rPr>
      <w:b/>
      <w:bCs/>
      <w:smallCaps/>
      <w:color w:val="auto"/>
      <w:spacing w:val="5"/>
      <w:u w:val="single"/>
    </w:rPr>
  </w:style>
  <w:style w:type="paragraph" w:customStyle="1" w:styleId="2ColumnHeading">
    <w:name w:val="2Column Heading"/>
    <w:basedOn w:val="BodyText"/>
    <w:qFormat/>
    <w:rsid w:val="00D91DC9"/>
    <w:pPr>
      <w:spacing w:after="60"/>
      <w:ind w:left="-2268"/>
    </w:pPr>
    <w:rPr>
      <w:b/>
    </w:rPr>
  </w:style>
  <w:style w:type="paragraph" w:customStyle="1" w:styleId="Heading1TOC">
    <w:name w:val="Heading1 TOC"/>
    <w:basedOn w:val="Normal"/>
    <w:qFormat/>
    <w:rsid w:val="00D91DC9"/>
    <w:pPr>
      <w:spacing w:before="240" w:after="120"/>
    </w:pPr>
    <w:rPr>
      <w:rFonts w:ascii="Times New Roman" w:hAnsi="Times New Roman"/>
      <w:b/>
      <w:sz w:val="32"/>
    </w:rPr>
  </w:style>
  <w:style w:type="paragraph" w:customStyle="1" w:styleId="Heading2TOC">
    <w:name w:val="Heading2 TOC"/>
    <w:basedOn w:val="Normal"/>
    <w:qFormat/>
    <w:rsid w:val="00D91DC9"/>
    <w:pPr>
      <w:spacing w:before="240" w:after="60"/>
    </w:pPr>
    <w:rPr>
      <w:rFonts w:ascii="Times New Roman" w:hAnsi="Times New Roman"/>
      <w:b/>
      <w:sz w:val="28"/>
    </w:rPr>
  </w:style>
  <w:style w:type="character" w:customStyle="1" w:styleId="Underline">
    <w:name w:val="Underline"/>
    <w:basedOn w:val="DefaultParagraphFont"/>
    <w:qFormat/>
    <w:rsid w:val="00D91DC9"/>
    <w:rPr>
      <w:u w:val="single"/>
    </w:rPr>
  </w:style>
  <w:style w:type="character" w:customStyle="1" w:styleId="BoldandItalics">
    <w:name w:val="Bold and Italics"/>
    <w:qFormat/>
    <w:rsid w:val="00D91DC9"/>
    <w:rPr>
      <w:b/>
      <w:i/>
      <w:u w:val="none"/>
    </w:rPr>
  </w:style>
  <w:style w:type="paragraph" w:styleId="BalloonText">
    <w:name w:val="Balloon Text"/>
    <w:basedOn w:val="Normal"/>
    <w:link w:val="BalloonTextChar"/>
    <w:rsid w:val="00D91DC9"/>
    <w:rPr>
      <w:rFonts w:ascii="Tahoma" w:hAnsi="Tahoma" w:cs="Tahoma"/>
      <w:sz w:val="16"/>
      <w:szCs w:val="16"/>
    </w:rPr>
  </w:style>
  <w:style w:type="character" w:customStyle="1" w:styleId="BalloonTextChar">
    <w:name w:val="Balloon Text Char"/>
    <w:basedOn w:val="DefaultParagraphFont"/>
    <w:link w:val="BalloonText"/>
    <w:rsid w:val="00D91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DC9"/>
    <w:rPr>
      <w:b/>
      <w:color w:val="660033"/>
      <w:spacing w:val="0"/>
    </w:rPr>
  </w:style>
  <w:style w:type="paragraph" w:customStyle="1" w:styleId="Nameditemlist">
    <w:name w:val="Named item list"/>
    <w:basedOn w:val="BodyText"/>
    <w:qFormat/>
    <w:rsid w:val="00D91DC9"/>
    <w:pPr>
      <w:tabs>
        <w:tab w:val="left" w:pos="2835"/>
      </w:tabs>
      <w:ind w:left="2835" w:hanging="2835"/>
    </w:pPr>
  </w:style>
  <w:style w:type="paragraph" w:customStyle="1" w:styleId="BodyTextnopadding">
    <w:name w:val="Body Text no padding"/>
    <w:basedOn w:val="BodyText"/>
    <w:qFormat/>
    <w:rsid w:val="00D91DC9"/>
    <w:pPr>
      <w:spacing w:before="0" w:after="0"/>
    </w:pPr>
  </w:style>
  <w:style w:type="paragraph" w:customStyle="1" w:styleId="BodyTextBold">
    <w:name w:val="Body Text Bold"/>
    <w:basedOn w:val="BodyText"/>
    <w:qFormat/>
    <w:rsid w:val="00D91DC9"/>
    <w:rPr>
      <w:b/>
    </w:rPr>
  </w:style>
  <w:style w:type="character" w:styleId="Hyperlink">
    <w:name w:val="Hyperlink"/>
    <w:basedOn w:val="DefaultParagraphFont"/>
    <w:uiPriority w:val="99"/>
    <w:unhideWhenUsed/>
    <w:rsid w:val="00D34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4828</Characters>
  <Application>Microsoft Office Word</Application>
  <DocSecurity>0</DocSecurity>
  <Lines>137</Lines>
  <Paragraphs>91</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MSL974037 Triage and allocate tissue specimens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