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417" w:rsidP="00EC6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MSL974037 Triage and allocate tissue specimens</w:t>
      </w:r>
      <w:r>
        <w:fldChar w:fldCharType="end"/>
      </w:r>
    </w:p>
    <w:p w:rsidR="00EC6417" w:rsidP="00EC6417">
      <w:pPr>
        <w:pStyle w:val="Version"/>
        <w:sectPr w:rsidSect="00A74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F78" w:rsidP="00A74F78">
      <w:pPr>
        <w:pStyle w:val="SuperHeading"/>
      </w:pPr>
      <w:r w:rsidRPr="00A74F78">
        <w:t>Assessment Requirements for MSL974037 Triage and allocate tissue specimens</w:t>
      </w:r>
    </w:p>
    <w:p w:rsidR="00000000" w:rsidRPr="00A74F78" w:rsidP="00A74F78">
      <w:pPr>
        <w:pStyle w:val="Heading1"/>
      </w:pPr>
      <w:bookmarkStart w:id="1" w:name="O_1257623"/>
      <w:bookmarkEnd w:id="1"/>
      <w:r w:rsidRPr="00A74F78">
        <w:t>Modification History</w:t>
      </w:r>
    </w:p>
    <w:p w:rsidR="00000000" w:rsidRPr="00A74F78" w:rsidP="00EC6417">
      <w:pPr>
        <w:pStyle w:val="BodyText"/>
      </w:pPr>
      <w:r w:rsidRPr="00A74F78">
        <w:t>Release 1. New unit.</w:t>
      </w:r>
    </w:p>
    <w:p w:rsidR="00000000" w:rsidRPr="00A74F78" w:rsidP="00A74F78">
      <w:pPr>
        <w:pStyle w:val="Heading1"/>
      </w:pPr>
      <w:bookmarkStart w:id="2" w:name="O_1257624"/>
      <w:bookmarkEnd w:id="2"/>
      <w:r w:rsidRPr="00A74F78">
        <w:t>Performance Evidence</w:t>
      </w:r>
    </w:p>
    <w:p w:rsidR="00000000" w:rsidRPr="00A74F78" w:rsidP="00EC6417">
      <w:pPr>
        <w:pStyle w:val="BodyText"/>
      </w:pPr>
      <w:r w:rsidRPr="00A74F78">
        <w:t>There must be evidence the candidate has completed the tasks outlined in the elements and performance criteria of this unit, and:</w:t>
      </w:r>
    </w:p>
    <w:p w:rsidR="00000000" w:rsidRPr="00A74F78" w:rsidP="00A74F78">
      <w:pPr>
        <w:pStyle w:val="ListBullet"/>
      </w:pPr>
      <w:r w:rsidRPr="00A74F78">
        <w:t>followed workplace procedures for the triage and allocation of at least 10 different tissue specimens including at least 1 of</w:t>
      </w:r>
      <w:r w:rsidRPr="00A74F78">
        <w:t xml:space="preserve"> each of the following:</w:t>
      </w:r>
    </w:p>
    <w:p w:rsidR="00000000" w:rsidRPr="00A74F78" w:rsidP="00A74F78">
      <w:pPr>
        <w:pStyle w:val="ListBullet2"/>
      </w:pPr>
      <w:r w:rsidRPr="00A74F78">
        <w:t>fresh tissue</w:t>
      </w:r>
    </w:p>
    <w:p w:rsidR="00000000" w:rsidRPr="00A74F78" w:rsidP="00A74F78">
      <w:pPr>
        <w:pStyle w:val="ListBullet2"/>
      </w:pPr>
      <w:r w:rsidRPr="00A74F78">
        <w:t>simple transfer</w:t>
      </w:r>
    </w:p>
    <w:p w:rsidR="00000000" w:rsidRPr="00A74F78" w:rsidP="00A74F78">
      <w:pPr>
        <w:pStyle w:val="ListBullet2"/>
      </w:pPr>
      <w:r w:rsidRPr="00A74F78">
        <w:t>non-complex.</w:t>
      </w:r>
    </w:p>
    <w:p w:rsidR="00000000" w:rsidRPr="00A74F78" w:rsidP="00A74F78">
      <w:pPr>
        <w:pStyle w:val="AllowPageBreak"/>
      </w:pPr>
    </w:p>
    <w:p w:rsidR="00000000" w:rsidRPr="00A74F78" w:rsidP="00A74F78">
      <w:pPr>
        <w:pStyle w:val="Heading1"/>
      </w:pPr>
      <w:bookmarkStart w:id="3" w:name="O_1257625"/>
      <w:bookmarkEnd w:id="3"/>
      <w:r w:rsidRPr="00A74F78">
        <w:t>Knowledge Evidence</w:t>
      </w:r>
    </w:p>
    <w:p w:rsidR="00000000" w:rsidRPr="00A74F78" w:rsidP="00EC6417">
      <w:pPr>
        <w:pStyle w:val="BodyText"/>
      </w:pPr>
      <w:r w:rsidRPr="00A74F78">
        <w:t>There must be evidence the candidate has knowledge of:</w:t>
      </w:r>
    </w:p>
    <w:p w:rsidR="00000000" w:rsidRPr="00A74F78" w:rsidP="00A74F78">
      <w:pPr>
        <w:pStyle w:val="ListBullet"/>
      </w:pPr>
      <w:r w:rsidRPr="00A74F78">
        <w:t>purpose of and processes involved in triage and allocation</w:t>
      </w:r>
    </w:p>
    <w:p w:rsidR="00000000" w:rsidRPr="00A74F78" w:rsidP="00A74F78">
      <w:pPr>
        <w:pStyle w:val="ListBullet"/>
      </w:pPr>
      <w:r w:rsidRPr="00A74F78">
        <w:t>safe bench practices, including personal protective equipment (PPE), cleaning and hygiene requirements</w:t>
      </w:r>
    </w:p>
    <w:p w:rsidR="00000000" w:rsidRPr="00A74F78" w:rsidP="00A74F78">
      <w:pPr>
        <w:pStyle w:val="ListBullet"/>
      </w:pPr>
      <w:r w:rsidRPr="00A74F78">
        <w:t>hazards in work involving triage and allocation and associated risk management procedures, including those related to:</w:t>
      </w:r>
    </w:p>
    <w:p w:rsidR="00000000" w:rsidRPr="00A74F78" w:rsidP="00A74F78">
      <w:pPr>
        <w:pStyle w:val="ListBullet2"/>
      </w:pPr>
      <w:r w:rsidRPr="00A74F78">
        <w:t xml:space="preserve">ventilation </w:t>
      </w:r>
    </w:p>
    <w:p w:rsidR="00000000" w:rsidRPr="00A74F78" w:rsidP="00A74F78">
      <w:pPr>
        <w:pStyle w:val="ListBullet2"/>
      </w:pPr>
      <w:r w:rsidRPr="00A74F78">
        <w:t>formalin</w:t>
      </w:r>
    </w:p>
    <w:p w:rsidR="00000000" w:rsidRPr="00A74F78" w:rsidP="00A74F78">
      <w:pPr>
        <w:pStyle w:val="ListBullet2"/>
      </w:pPr>
      <w:r w:rsidRPr="00A74F78">
        <w:t>sharps</w:t>
      </w:r>
    </w:p>
    <w:p w:rsidR="00000000" w:rsidRPr="00A74F78" w:rsidP="00A74F78">
      <w:pPr>
        <w:pStyle w:val="ListBullet2"/>
      </w:pPr>
      <w:r w:rsidRPr="00A74F78">
        <w:t>bioh</w:t>
      </w:r>
      <w:r w:rsidRPr="00A74F78">
        <w:t>azards</w:t>
      </w:r>
    </w:p>
    <w:p w:rsidR="00000000" w:rsidRPr="00A74F78" w:rsidP="00A74F78">
      <w:pPr>
        <w:pStyle w:val="ListBullet2"/>
      </w:pPr>
      <w:r w:rsidRPr="00A74F78">
        <w:t>ergonomics</w:t>
      </w:r>
    </w:p>
    <w:p w:rsidR="00000000" w:rsidRPr="00A74F78" w:rsidP="00A74F78">
      <w:pPr>
        <w:pStyle w:val="ListBullet"/>
      </w:pPr>
      <w:r w:rsidRPr="00A74F78">
        <w:t>cross-checking procedures used in laboratories to ensure matching of patients, tissue specimens and request forms</w:t>
      </w:r>
    </w:p>
    <w:p w:rsidR="00000000" w:rsidRPr="00A74F78" w:rsidP="00A74F78">
      <w:pPr>
        <w:pStyle w:val="ListBullet"/>
      </w:pPr>
      <w:r w:rsidRPr="00A74F78">
        <w:t>procedures for handling non-compliant specimens</w:t>
      </w:r>
    </w:p>
    <w:p w:rsidR="00000000" w:rsidRPr="00A74F78" w:rsidP="00A74F78">
      <w:pPr>
        <w:pStyle w:val="ListBullet"/>
      </w:pPr>
      <w:r w:rsidRPr="00A74F78">
        <w:t>laboratory information management and tracking systems</w:t>
      </w:r>
    </w:p>
    <w:p w:rsidR="00000000" w:rsidRPr="00A74F78" w:rsidP="00A74F78">
      <w:pPr>
        <w:pStyle w:val="ListBullet"/>
      </w:pPr>
      <w:r w:rsidRPr="00A74F78">
        <w:t>specimen triage proc</w:t>
      </w:r>
      <w:r w:rsidRPr="00A74F78">
        <w:t>ess for different types of tissue specimens including:</w:t>
      </w:r>
    </w:p>
    <w:p w:rsidR="00000000" w:rsidRPr="00A74F78" w:rsidP="00A74F78">
      <w:pPr>
        <w:pStyle w:val="ListBullet2"/>
      </w:pPr>
      <w:r w:rsidRPr="00A74F78">
        <w:t xml:space="preserve">fresh </w:t>
      </w:r>
    </w:p>
    <w:p w:rsidR="00000000" w:rsidRPr="00A74F78" w:rsidP="00A74F78">
      <w:pPr>
        <w:pStyle w:val="ListBullet2"/>
      </w:pPr>
      <w:r w:rsidRPr="00A74F78">
        <w:t xml:space="preserve">fixed </w:t>
      </w:r>
    </w:p>
    <w:p w:rsidR="00000000" w:rsidRPr="00A74F78" w:rsidP="00A74F78">
      <w:pPr>
        <w:pStyle w:val="ListBullet2"/>
      </w:pPr>
      <w:r w:rsidRPr="00A74F78">
        <w:t>priority</w:t>
      </w:r>
    </w:p>
    <w:p w:rsidR="00000000" w:rsidRPr="00A74F78" w:rsidP="00A74F78">
      <w:pPr>
        <w:pStyle w:val="ListBullet2"/>
      </w:pPr>
      <w:r w:rsidRPr="00A74F78">
        <w:t>paediatric</w:t>
      </w:r>
    </w:p>
    <w:p w:rsidR="00000000" w:rsidRPr="00A74F78" w:rsidP="00A74F78">
      <w:pPr>
        <w:pStyle w:val="ListBullet"/>
      </w:pPr>
      <w:r w:rsidRPr="00A74F78">
        <w:t>systems to categorise tissue specimen complexity and the associated handling requirements (simple, non-complex and complex)</w:t>
      </w:r>
    </w:p>
    <w:p w:rsidR="00000000" w:rsidRPr="00A74F78" w:rsidP="00A74F78">
      <w:pPr>
        <w:pStyle w:val="ListBullet"/>
      </w:pPr>
      <w:r w:rsidRPr="00A74F78">
        <w:t xml:space="preserve">existence and purpose of anatomical ordering of tissue specimens </w:t>
      </w:r>
    </w:p>
    <w:p w:rsidR="00000000" w:rsidRPr="00A74F78" w:rsidP="00A74F78">
      <w:pPr>
        <w:pStyle w:val="ListBullet"/>
      </w:pPr>
      <w:r w:rsidRPr="00A74F78">
        <w:t xml:space="preserve">difference in visual appearance of fresh versus fixed tissue </w:t>
      </w:r>
    </w:p>
    <w:p w:rsidR="00000000" w:rsidRPr="00A74F78" w:rsidP="00A74F78">
      <w:pPr>
        <w:pStyle w:val="ListBullet"/>
      </w:pPr>
      <w:r w:rsidRPr="00A74F78">
        <w:t>basic aspects of subsequent histological procedures and impact of incorrect work practices in triage and allocation on subsequen</w:t>
      </w:r>
      <w:r w:rsidRPr="00A74F78">
        <w:t>t processes including the quality of the final microscopic outcome</w:t>
      </w:r>
    </w:p>
    <w:p w:rsidR="00000000" w:rsidRPr="00A74F78" w:rsidP="00A74F78">
      <w:pPr>
        <w:pStyle w:val="ListBullet"/>
      </w:pPr>
      <w:r w:rsidRPr="00A74F78">
        <w:t>legal, ethical and work health and safety (WHS) requirements specific to the work task including traceability, confidentiality and security requirements of all clinical information, and lab</w:t>
      </w:r>
      <w:r w:rsidRPr="00A74F78">
        <w:t>oratory data and records and legal requirements relating to the use of human tissue.</w:t>
      </w:r>
    </w:p>
    <w:p w:rsidR="00000000" w:rsidRPr="00A74F78" w:rsidP="00A74F78">
      <w:pPr>
        <w:pStyle w:val="AllowPageBreak"/>
      </w:pPr>
    </w:p>
    <w:p w:rsidR="00000000" w:rsidRPr="00A74F78" w:rsidP="00A74F78">
      <w:pPr>
        <w:pStyle w:val="Heading1"/>
      </w:pPr>
      <w:bookmarkStart w:id="4" w:name="O_1257626"/>
      <w:bookmarkEnd w:id="4"/>
      <w:r w:rsidRPr="00A74F78">
        <w:t>Assessment Conditions</w:t>
      </w:r>
    </w:p>
    <w:p w:rsidR="00000000" w:rsidRPr="00A74F78" w:rsidP="00EC6417">
      <w:pPr>
        <w:pStyle w:val="BodyText"/>
      </w:pPr>
      <w:r w:rsidRPr="00A74F78">
        <w:t>Skills must have been demonstrated in the workplace or in a simulated environment that reflects workplace conditions and contingen</w:t>
      </w:r>
      <w:r w:rsidRPr="00A74F78">
        <w:t xml:space="preserve">cies. The following conditions must be met for this unit: </w:t>
      </w:r>
    </w:p>
    <w:p w:rsidR="00000000" w:rsidRPr="00A74F78" w:rsidP="00A74F78">
      <w:pPr>
        <w:pStyle w:val="ListBullet"/>
      </w:pPr>
      <w:r w:rsidRPr="00A74F78">
        <w:t xml:space="preserve">use of suitable facilities, equipment and resources, including: </w:t>
      </w:r>
    </w:p>
    <w:p w:rsidR="00000000" w:rsidRPr="00A74F78" w:rsidP="00A74F78">
      <w:pPr>
        <w:pStyle w:val="ListBullet2"/>
      </w:pPr>
      <w:r w:rsidRPr="00A74F78">
        <w:t>a laboratory with relevant equipment, specimens and consumables</w:t>
      </w:r>
    </w:p>
    <w:p w:rsidR="00000000" w:rsidRPr="00A74F78" w:rsidP="00A74F78">
      <w:pPr>
        <w:pStyle w:val="ListBullet2"/>
      </w:pPr>
      <w:r w:rsidRPr="00A74F78">
        <w:t>laboratory information management system</w:t>
      </w:r>
    </w:p>
    <w:p w:rsidR="00000000" w:rsidRPr="00A74F78" w:rsidP="00A74F78">
      <w:pPr>
        <w:pStyle w:val="ListBullet2"/>
      </w:pPr>
      <w:r w:rsidRPr="00A74F78">
        <w:t>workplace procedures.</w:t>
      </w:r>
    </w:p>
    <w:p w:rsidR="00000000" w:rsidRPr="00A74F78" w:rsidP="00EC6417">
      <w:pPr>
        <w:pStyle w:val="BodyText"/>
      </w:pPr>
      <w:r w:rsidRPr="00A74F78">
        <w:t>Ass</w:t>
      </w:r>
      <w:r w:rsidRPr="00A74F78">
        <w:t>essors must satisfy the NVR/AQTF mandatory competency requirements for assessors.</w:t>
      </w:r>
    </w:p>
    <w:p w:rsidR="00000000" w:rsidRPr="00A74F78" w:rsidP="00A74F78">
      <w:pPr>
        <w:pStyle w:val="Heading1"/>
      </w:pPr>
      <w:bookmarkStart w:id="5" w:name="O_1257629"/>
      <w:bookmarkEnd w:id="5"/>
      <w:r w:rsidRPr="00A74F78">
        <w:t>Links</w:t>
      </w:r>
    </w:p>
    <w:p w:rsidR="00000000" w:rsidRPr="00A74F78" w:rsidP="00EC6417">
      <w:pPr>
        <w:pStyle w:val="BodyText"/>
      </w:pPr>
      <w:r w:rsidRPr="00A74F78">
        <w:t>MSL Laborator</w:t>
      </w:r>
      <w:r w:rsidRPr="00A74F78">
        <w:t xml:space="preserve">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F3A3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74F78" w:rsidP="00A74F78"/>
    <w:sectPr w:rsidSect="00A74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78" w:rsidRPr="00EC6417" w:rsidP="00EC6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17" w:rsidP="00A74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417" w:rsidP="00A74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6417" w:rsidP="00A74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F78" w:rsidRPr="00EC6417" w:rsidP="00EC6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17" w:rsidRPr="002D2AF8" w:rsidP="00A74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MSL974037 Triage and allocate tissue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C6417" w:rsidP="00A74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0AC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2C0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CF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F78"/>
  </w:style>
  <w:style w:type="character" w:customStyle="1" w:styleId="Heading1Char">
    <w:name w:val="Heading 1 Char"/>
    <w:basedOn w:val="DefaultParagraphFont"/>
    <w:link w:val="Heading1"/>
    <w:rsid w:val="00A74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F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F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F78"/>
    <w:rPr>
      <w:b/>
      <w:spacing w:val="0"/>
    </w:rPr>
  </w:style>
  <w:style w:type="paragraph" w:customStyle="1" w:styleId="SuperTitle">
    <w:name w:val="SuperTitle"/>
    <w:basedOn w:val="Title"/>
    <w:rsid w:val="00A74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F78"/>
    <w:rPr>
      <w:i/>
    </w:rPr>
  </w:style>
  <w:style w:type="paragraph" w:styleId="Caption">
    <w:name w:val="caption"/>
    <w:basedOn w:val="BodyText"/>
    <w:next w:val="Normal"/>
    <w:qFormat/>
    <w:rsid w:val="00A74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F78"/>
  </w:style>
  <w:style w:type="paragraph" w:styleId="TableofFigures">
    <w:name w:val="table of figures"/>
    <w:basedOn w:val="Normal"/>
    <w:next w:val="Normal"/>
    <w:semiHidden/>
    <w:rsid w:val="00A74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F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F78"/>
    <w:rPr>
      <w:rFonts w:ascii="Wingdings" w:hAnsi="Wingdings"/>
    </w:rPr>
  </w:style>
  <w:style w:type="paragraph" w:customStyle="1" w:styleId="TableHeading">
    <w:name w:val="Table Heading"/>
    <w:basedOn w:val="HeadingBase"/>
    <w:rsid w:val="00A74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F78"/>
    <w:rPr>
      <w:color w:val="0033CC"/>
      <w:u w:val="none"/>
    </w:rPr>
  </w:style>
  <w:style w:type="paragraph" w:customStyle="1" w:styleId="BodyTextRight">
    <w:name w:val="Body Text Right"/>
    <w:basedOn w:val="BodyText"/>
    <w:rsid w:val="00A74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F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F78"/>
    <w:rPr>
      <w:sz w:val="32"/>
    </w:rPr>
  </w:style>
  <w:style w:type="paragraph" w:customStyle="1" w:styleId="HeadingProcedure">
    <w:name w:val="Heading Procedure"/>
    <w:basedOn w:val="HeadingBase"/>
    <w:next w:val="Normal"/>
    <w:rsid w:val="00A74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F78"/>
    <w:pPr>
      <w:spacing w:before="60" w:after="60"/>
    </w:pPr>
  </w:style>
  <w:style w:type="paragraph" w:styleId="ListContinue">
    <w:name w:val="List Continue"/>
    <w:basedOn w:val="List"/>
    <w:rsid w:val="00A74F78"/>
    <w:pPr>
      <w:ind w:firstLine="0"/>
    </w:pPr>
  </w:style>
  <w:style w:type="paragraph" w:customStyle="1" w:styleId="ListNote">
    <w:name w:val="List Note"/>
    <w:basedOn w:val="List"/>
    <w:rsid w:val="00A74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F78"/>
    <w:rPr>
      <w:rFonts w:ascii="Courier New" w:hAnsi="Courier New"/>
    </w:rPr>
  </w:style>
  <w:style w:type="paragraph" w:customStyle="1" w:styleId="NoteBullet">
    <w:name w:val="Note Bullet"/>
    <w:basedOn w:val="Note"/>
    <w:rsid w:val="00A74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F78"/>
    <w:rPr>
      <w:b/>
      <w:smallCaps/>
    </w:rPr>
  </w:style>
  <w:style w:type="paragraph" w:customStyle="1" w:styleId="TableListNumber">
    <w:name w:val="Table List Number"/>
    <w:basedOn w:val="ListNumber"/>
    <w:rsid w:val="00A74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F78"/>
    <w:pPr>
      <w:numPr>
        <w:numId w:val="9"/>
      </w:numPr>
    </w:pPr>
  </w:style>
  <w:style w:type="paragraph" w:customStyle="1" w:styleId="ListAlpha2">
    <w:name w:val="List Alpha 2"/>
    <w:basedOn w:val="List2"/>
    <w:rsid w:val="00A74F78"/>
    <w:pPr>
      <w:numPr>
        <w:numId w:val="8"/>
      </w:numPr>
    </w:pPr>
  </w:style>
  <w:style w:type="paragraph" w:styleId="List2">
    <w:name w:val="List 2"/>
    <w:basedOn w:val="BodyText"/>
    <w:rsid w:val="00A74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F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F78"/>
    <w:pPr>
      <w:numPr>
        <w:numId w:val="4"/>
      </w:numPr>
    </w:pPr>
  </w:style>
  <w:style w:type="paragraph" w:styleId="ListContinue2">
    <w:name w:val="List Continue 2"/>
    <w:basedOn w:val="List2"/>
    <w:rsid w:val="00A74F78"/>
    <w:pPr>
      <w:ind w:firstLine="0"/>
    </w:pPr>
  </w:style>
  <w:style w:type="paragraph" w:styleId="ListContinue3">
    <w:name w:val="List Continue 3"/>
    <w:basedOn w:val="List3"/>
    <w:rsid w:val="00A74F78"/>
    <w:pPr>
      <w:ind w:left="1021" w:firstLine="0"/>
    </w:pPr>
  </w:style>
  <w:style w:type="paragraph" w:styleId="ListContinue4">
    <w:name w:val="List Continue 4"/>
    <w:basedOn w:val="List4"/>
    <w:rsid w:val="00A74F78"/>
    <w:pPr>
      <w:ind w:firstLine="0"/>
    </w:pPr>
  </w:style>
  <w:style w:type="paragraph" w:styleId="ListContinue5">
    <w:name w:val="List Continue 5"/>
    <w:basedOn w:val="List5"/>
    <w:rsid w:val="00A74F78"/>
    <w:pPr>
      <w:ind w:firstLine="0"/>
    </w:pPr>
  </w:style>
  <w:style w:type="paragraph" w:styleId="ListNumber3">
    <w:name w:val="List Number 3"/>
    <w:basedOn w:val="List3"/>
    <w:rsid w:val="00A74F78"/>
    <w:pPr>
      <w:numPr>
        <w:numId w:val="5"/>
      </w:numPr>
    </w:pPr>
  </w:style>
  <w:style w:type="paragraph" w:styleId="ListNumber4">
    <w:name w:val="List Number 4"/>
    <w:basedOn w:val="List4"/>
    <w:rsid w:val="00A74F78"/>
    <w:pPr>
      <w:numPr>
        <w:numId w:val="6"/>
      </w:numPr>
    </w:pPr>
  </w:style>
  <w:style w:type="paragraph" w:styleId="ListNumber5">
    <w:name w:val="List Number 5"/>
    <w:basedOn w:val="List5"/>
    <w:rsid w:val="00A74F78"/>
    <w:pPr>
      <w:numPr>
        <w:numId w:val="7"/>
      </w:numPr>
    </w:pPr>
  </w:style>
  <w:style w:type="paragraph" w:styleId="BlockText">
    <w:name w:val="Block Text"/>
    <w:basedOn w:val="Normal"/>
    <w:rsid w:val="00A74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F78"/>
    <w:rPr>
      <w:sz w:val="16"/>
      <w:vertAlign w:val="superscript"/>
    </w:rPr>
  </w:style>
  <w:style w:type="character" w:customStyle="1" w:styleId="Symbols">
    <w:name w:val="Symbols"/>
    <w:basedOn w:val="DefaultParagraphFont"/>
    <w:rsid w:val="00A74F78"/>
    <w:rPr>
      <w:rFonts w:ascii="Symbol" w:hAnsi="Symbol"/>
    </w:rPr>
  </w:style>
  <w:style w:type="character" w:customStyle="1" w:styleId="MenuOptions">
    <w:name w:val="Menu Options"/>
    <w:basedOn w:val="DefaultParagraphFont"/>
    <w:rsid w:val="00A74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F78"/>
    <w:rPr>
      <w:b/>
    </w:rPr>
  </w:style>
  <w:style w:type="character" w:customStyle="1" w:styleId="Underlined">
    <w:name w:val="Underlined"/>
    <w:basedOn w:val="DefaultParagraphFont"/>
    <w:rsid w:val="00A74F78"/>
    <w:rPr>
      <w:u w:val="single"/>
    </w:rPr>
  </w:style>
  <w:style w:type="paragraph" w:customStyle="1" w:styleId="TableBodyTextRight">
    <w:name w:val="Table Body Text Right"/>
    <w:basedOn w:val="TableBodyText"/>
    <w:rsid w:val="00A74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F78"/>
    <w:rPr>
      <w:sz w:val="18"/>
    </w:rPr>
  </w:style>
  <w:style w:type="paragraph" w:customStyle="1" w:styleId="BodySmallRight">
    <w:name w:val="Body Small Right"/>
    <w:basedOn w:val="BodyTextRight"/>
    <w:rsid w:val="00A74F78"/>
    <w:rPr>
      <w:sz w:val="18"/>
      <w:szCs w:val="18"/>
    </w:rPr>
  </w:style>
  <w:style w:type="paragraph" w:customStyle="1" w:styleId="MarginEdition">
    <w:name w:val="Margin Edition"/>
    <w:basedOn w:val="MarginNote"/>
    <w:rsid w:val="00A74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F78"/>
    <w:rPr>
      <w:sz w:val="2"/>
      <w:szCs w:val="2"/>
    </w:rPr>
  </w:style>
  <w:style w:type="character" w:customStyle="1" w:styleId="Small">
    <w:name w:val="Small"/>
    <w:basedOn w:val="DefaultParagraphFont"/>
    <w:rsid w:val="00A74F78"/>
    <w:rPr>
      <w:sz w:val="16"/>
    </w:rPr>
  </w:style>
  <w:style w:type="paragraph" w:customStyle="1" w:styleId="WideTable">
    <w:name w:val="Wide Table"/>
    <w:basedOn w:val="Normal"/>
    <w:rsid w:val="00A74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F78"/>
  </w:style>
  <w:style w:type="paragraph" w:styleId="Quote">
    <w:name w:val="Quote"/>
    <w:basedOn w:val="Heading1"/>
    <w:link w:val="QuoteChar"/>
    <w:qFormat/>
    <w:rsid w:val="00A74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F78"/>
    <w:pPr>
      <w:pageBreakBefore/>
    </w:pPr>
  </w:style>
  <w:style w:type="paragraph" w:customStyle="1" w:styleId="Border">
    <w:name w:val="Border"/>
    <w:basedOn w:val="Normal"/>
    <w:qFormat/>
    <w:rsid w:val="00A74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F78"/>
    <w:rPr>
      <w:u w:val="single"/>
    </w:rPr>
  </w:style>
  <w:style w:type="character" w:customStyle="1" w:styleId="BoldandItalics">
    <w:name w:val="Bold and Italics"/>
    <w:qFormat/>
    <w:rsid w:val="00A74F78"/>
    <w:rPr>
      <w:b/>
      <w:i/>
      <w:u w:val="none"/>
    </w:rPr>
  </w:style>
  <w:style w:type="paragraph" w:styleId="BalloonText">
    <w:name w:val="Balloon Text"/>
    <w:basedOn w:val="Normal"/>
    <w:link w:val="BalloonTextChar"/>
    <w:rsid w:val="00A74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F78"/>
    <w:pPr>
      <w:spacing w:before="0" w:after="0"/>
    </w:pPr>
  </w:style>
  <w:style w:type="paragraph" w:customStyle="1" w:styleId="BodyTextBold">
    <w:name w:val="Body Text Bold"/>
    <w:basedOn w:val="BodyText"/>
    <w:qFormat/>
    <w:rsid w:val="00A74F78"/>
    <w:rPr>
      <w:b/>
    </w:rPr>
  </w:style>
  <w:style w:type="character" w:styleId="Hyperlink">
    <w:name w:val="Hyperlink"/>
    <w:basedOn w:val="DefaultParagraphFont"/>
    <w:uiPriority w:val="99"/>
    <w:unhideWhenUsed/>
    <w:rsid w:val="00EC6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2476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MSL974037 Triage and allocate tissue specimens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