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0E6" w:rsidP="00372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MSL974036 Process body fluid specimens using a point of care testing device</w:t>
      </w:r>
      <w:r>
        <w:fldChar w:fldCharType="end"/>
      </w:r>
    </w:p>
    <w:p w:rsidR="003720E6" w:rsidP="003720E6">
      <w:pPr>
        <w:pStyle w:val="Version"/>
        <w:sectPr w:rsidSect="00A52C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C64" w:rsidP="00A52C64">
      <w:pPr>
        <w:pStyle w:val="SuperHeading"/>
      </w:pPr>
      <w:r w:rsidRPr="00A52C64">
        <w:t>Assessment Requirements for MSL974036 Process body fluid specimens using a point of care testing device</w:t>
      </w:r>
    </w:p>
    <w:p w:rsidR="00000000" w:rsidRPr="00A52C64" w:rsidP="00A52C64">
      <w:pPr>
        <w:pStyle w:val="Heading1"/>
      </w:pPr>
      <w:bookmarkStart w:id="1" w:name="O_1258360"/>
      <w:bookmarkEnd w:id="1"/>
      <w:r w:rsidRPr="00A52C64">
        <w:t>Modification History</w:t>
      </w:r>
    </w:p>
    <w:p w:rsidR="003720E6" w:rsidP="003720E6">
      <w:pPr>
        <w:pStyle w:val="BodyText"/>
      </w:pPr>
      <w:r w:rsidRPr="00A52C64">
        <w:t>Release 1.  Supersedes and is not equivalent to MSL974030 Process body fluid specimens using a point of care testing device. Scope broadened to include other manual devices. Minor changes to Performance Criteria.</w:t>
      </w:r>
    </w:p>
    <w:p w:rsidR="00000000" w:rsidRPr="00A52C64" w:rsidP="00A52C64">
      <w:pPr>
        <w:pStyle w:val="Heading1"/>
      </w:pPr>
      <w:bookmarkStart w:id="2" w:name="O_1258361"/>
      <w:bookmarkEnd w:id="2"/>
      <w:r w:rsidRPr="00A52C64">
        <w:t>Performance Evidence</w:t>
      </w:r>
    </w:p>
    <w:p w:rsidR="00000000" w:rsidRPr="00A52C64" w:rsidP="003720E6">
      <w:pPr>
        <w:pStyle w:val="BodyText"/>
      </w:pPr>
      <w:r w:rsidRPr="00A52C64">
        <w:t>Th</w:t>
      </w:r>
      <w:r w:rsidRPr="00A52C64">
        <w:t>ere must be evidence the candidate has completed the tasks outlined in the elements and performance criteria of this unit, and:</w:t>
      </w:r>
    </w:p>
    <w:p w:rsidR="00000000" w:rsidRPr="00A52C64" w:rsidP="00A52C64">
      <w:pPr>
        <w:pStyle w:val="ListBullet"/>
      </w:pPr>
      <w:r w:rsidRPr="00A52C64">
        <w:t xml:space="preserve">used a PoCT device with an electronic read-out in accordance with workplace procedures, and completed each of the following at </w:t>
      </w:r>
      <w:r w:rsidRPr="00A52C64">
        <w:t>least once:</w:t>
      </w:r>
    </w:p>
    <w:p w:rsidR="00000000" w:rsidRPr="00A52C64" w:rsidP="00A52C64">
      <w:pPr>
        <w:pStyle w:val="ListBullet2"/>
      </w:pPr>
      <w:r w:rsidRPr="00A52C64">
        <w:t>specimen processing</w:t>
      </w:r>
    </w:p>
    <w:p w:rsidR="00000000" w:rsidRPr="00A52C64" w:rsidP="00A52C64">
      <w:pPr>
        <w:pStyle w:val="ListBullet2"/>
      </w:pPr>
      <w:r w:rsidRPr="00A52C64">
        <w:t xml:space="preserve">device maintenance </w:t>
      </w:r>
    </w:p>
    <w:p w:rsidR="00000000" w:rsidRPr="00A52C64" w:rsidP="00A52C64">
      <w:pPr>
        <w:pStyle w:val="ListBullet2"/>
      </w:pPr>
      <w:r w:rsidRPr="00A52C64">
        <w:t>a routine quality-control test.</w:t>
      </w:r>
    </w:p>
    <w:p w:rsidR="003720E6" w:rsidP="00A52C64">
      <w:pPr>
        <w:pStyle w:val="ListBullet"/>
      </w:pPr>
      <w:r w:rsidRPr="00A52C64">
        <w:t>used one manual PoCT device in accordance with workplace procedures</w:t>
      </w:r>
    </w:p>
    <w:p w:rsidR="003720E6" w:rsidP="00A52C64">
      <w:pPr>
        <w:pStyle w:val="ListBullet"/>
      </w:pPr>
    </w:p>
    <w:p w:rsidR="00000000" w:rsidRPr="00A52C64" w:rsidP="00A52C64">
      <w:pPr>
        <w:pStyle w:val="Heading1"/>
      </w:pPr>
      <w:bookmarkStart w:id="3" w:name="O_1258362"/>
      <w:bookmarkEnd w:id="3"/>
      <w:r w:rsidRPr="00A52C64">
        <w:t>Knowledge Evidence</w:t>
      </w:r>
    </w:p>
    <w:p w:rsidR="00000000" w:rsidRPr="00A52C64" w:rsidP="003720E6">
      <w:pPr>
        <w:pStyle w:val="BodyText"/>
      </w:pPr>
      <w:r w:rsidRPr="00A52C64">
        <w:t>There must be evidence the candidate has knowledge of:</w:t>
      </w:r>
    </w:p>
    <w:p w:rsidR="00000000" w:rsidRPr="00A52C64" w:rsidP="00A52C64">
      <w:pPr>
        <w:pStyle w:val="ListBullet"/>
      </w:pPr>
      <w:r w:rsidRPr="00A52C64">
        <w:t xml:space="preserve">existence and purpose of national and international standards and guidelines for PoCT </w:t>
      </w:r>
    </w:p>
    <w:p w:rsidR="00000000" w:rsidRPr="00A52C64" w:rsidP="00A52C64">
      <w:pPr>
        <w:pStyle w:val="ListBullet"/>
      </w:pPr>
      <w:r w:rsidRPr="00A52C64">
        <w:t>basic principles of quality assurance, the importance of a quality system, and key areas to be addressed:</w:t>
      </w:r>
    </w:p>
    <w:p w:rsidR="00000000" w:rsidRPr="00A52C64" w:rsidP="00A52C64">
      <w:pPr>
        <w:pStyle w:val="ListBullet2"/>
      </w:pPr>
      <w:r w:rsidRPr="00A52C64">
        <w:t>quality control</w:t>
      </w:r>
    </w:p>
    <w:p w:rsidR="00000000" w:rsidRPr="00A52C64" w:rsidP="00A52C64">
      <w:pPr>
        <w:pStyle w:val="ListBullet2"/>
      </w:pPr>
      <w:r w:rsidRPr="00A52C64">
        <w:t>external quality-assurance program</w:t>
      </w:r>
    </w:p>
    <w:p w:rsidR="00000000" w:rsidRPr="00A52C64" w:rsidP="00A52C64">
      <w:pPr>
        <w:pStyle w:val="ListBullet2"/>
      </w:pPr>
      <w:r w:rsidRPr="00A52C64">
        <w:t>traceabilit</w:t>
      </w:r>
      <w:r w:rsidRPr="00A52C64">
        <w:t>y</w:t>
      </w:r>
    </w:p>
    <w:p w:rsidR="00000000" w:rsidRPr="00A52C64" w:rsidP="00A52C64">
      <w:pPr>
        <w:pStyle w:val="ListBullet2"/>
      </w:pPr>
      <w:r w:rsidRPr="00A52C64">
        <w:t>documentation</w:t>
      </w:r>
    </w:p>
    <w:p w:rsidR="00000000" w:rsidRPr="00A52C64" w:rsidP="00A52C64">
      <w:pPr>
        <w:pStyle w:val="ListBullet2"/>
      </w:pPr>
      <w:r w:rsidRPr="00A52C64">
        <w:t>roles and responsibilities</w:t>
      </w:r>
    </w:p>
    <w:p w:rsidR="00000000" w:rsidRPr="00A52C64" w:rsidP="00A52C64">
      <w:pPr>
        <w:pStyle w:val="ListBullet"/>
      </w:pPr>
      <w:r w:rsidRPr="00A52C64">
        <w:t>different types of PoCT devices and their purpose, including knowledge of at least one device type that is used to measure each of the following:</w:t>
      </w:r>
    </w:p>
    <w:p w:rsidR="00000000" w:rsidRPr="00A52C64" w:rsidP="00A52C64">
      <w:pPr>
        <w:pStyle w:val="ListBullet2"/>
      </w:pPr>
      <w:r w:rsidRPr="00A52C64">
        <w:t>glucose</w:t>
      </w:r>
    </w:p>
    <w:p w:rsidR="00000000" w:rsidRPr="00A52C64" w:rsidP="00A52C64">
      <w:pPr>
        <w:pStyle w:val="ListBullet2"/>
      </w:pPr>
      <w:r w:rsidRPr="00A52C64">
        <w:t>haematological parameters</w:t>
      </w:r>
    </w:p>
    <w:p w:rsidR="00000000" w:rsidRPr="00A52C64" w:rsidP="00A52C64">
      <w:pPr>
        <w:pStyle w:val="ListBullet2"/>
      </w:pPr>
      <w:r w:rsidRPr="00A52C64">
        <w:t>biochemical parameters, includi</w:t>
      </w:r>
      <w:r w:rsidRPr="00A52C64">
        <w:t>ng cardiac markers</w:t>
      </w:r>
    </w:p>
    <w:p w:rsidR="00000000" w:rsidRPr="00A52C64" w:rsidP="00A52C64">
      <w:pPr>
        <w:pStyle w:val="ListBullet2"/>
      </w:pPr>
      <w:r w:rsidRPr="00A52C64">
        <w:t>blood gas</w:t>
      </w:r>
    </w:p>
    <w:p w:rsidR="00000000" w:rsidRPr="00A52C64" w:rsidP="00A52C64">
      <w:pPr>
        <w:pStyle w:val="ListBullet"/>
      </w:pPr>
      <w:r w:rsidRPr="00A52C64">
        <w:t>methods of patient identification and preparation</w:t>
      </w:r>
    </w:p>
    <w:p w:rsidR="00000000" w:rsidRPr="00A52C64" w:rsidP="00A52C64">
      <w:pPr>
        <w:pStyle w:val="ListBullet"/>
      </w:pPr>
      <w:r w:rsidRPr="00A52C64">
        <w:t xml:space="preserve">specimen collection methods, including: </w:t>
      </w:r>
    </w:p>
    <w:p w:rsidR="00000000" w:rsidRPr="00A52C64" w:rsidP="00A52C64">
      <w:pPr>
        <w:pStyle w:val="ListBullet2"/>
      </w:pPr>
      <w:r w:rsidRPr="00A52C64">
        <w:t>blood (capillary, venous, arterial)</w:t>
      </w:r>
    </w:p>
    <w:p w:rsidR="00000000" w:rsidRPr="00A52C64" w:rsidP="00A52C64">
      <w:pPr>
        <w:pStyle w:val="ListBullet2"/>
      </w:pPr>
      <w:r w:rsidRPr="00A52C64">
        <w:t>urine</w:t>
      </w:r>
    </w:p>
    <w:p w:rsidR="00000000" w:rsidRPr="00A52C64" w:rsidP="00A52C64">
      <w:pPr>
        <w:pStyle w:val="ListBullet2"/>
      </w:pPr>
      <w:r w:rsidRPr="00A52C64">
        <w:t>swab</w:t>
      </w:r>
    </w:p>
    <w:p w:rsidR="00000000" w:rsidRPr="00A52C64" w:rsidP="00A52C64">
      <w:pPr>
        <w:pStyle w:val="ListBullet"/>
      </w:pPr>
      <w:r w:rsidRPr="00A52C64">
        <w:t>risk and safety requirements associated with the handling and disposal of specimens</w:t>
      </w:r>
    </w:p>
    <w:p w:rsidR="00000000" w:rsidRPr="00A52C64" w:rsidP="00A52C64">
      <w:pPr>
        <w:pStyle w:val="ListBullet"/>
      </w:pPr>
      <w:r w:rsidRPr="00A52C64">
        <w:t>operator tracking and its implications</w:t>
      </w:r>
    </w:p>
    <w:p w:rsidR="00000000" w:rsidRPr="00A52C64" w:rsidP="00A52C64">
      <w:pPr>
        <w:pStyle w:val="ListBullet"/>
      </w:pPr>
      <w:r w:rsidRPr="00A52C64">
        <w:t>initial and ongoing operator training requirements</w:t>
      </w:r>
    </w:p>
    <w:p w:rsidR="00000000" w:rsidRPr="00A52C64" w:rsidP="00A52C64">
      <w:pPr>
        <w:pStyle w:val="ListBullet"/>
      </w:pPr>
      <w:r w:rsidRPr="00A52C64">
        <w:t>common causes of variations in testing and results</w:t>
      </w:r>
    </w:p>
    <w:p w:rsidR="00000000" w:rsidRPr="00A52C64" w:rsidP="00A52C64">
      <w:pPr>
        <w:pStyle w:val="ListBullet"/>
      </w:pPr>
      <w:r w:rsidRPr="00A52C64">
        <w:t>how to recognise and report abnormal, clinically urgent and erroneous results</w:t>
      </w:r>
    </w:p>
    <w:p w:rsidR="00000000" w:rsidRPr="00A52C64" w:rsidP="00A52C64">
      <w:pPr>
        <w:pStyle w:val="ListBullet"/>
      </w:pPr>
      <w:r w:rsidRPr="00A52C64">
        <w:t>difference between reportable range a</w:t>
      </w:r>
      <w:r w:rsidRPr="00A52C64">
        <w:t>nd reference interval</w:t>
      </w:r>
    </w:p>
    <w:p w:rsidR="00000000" w:rsidRPr="00A52C64" w:rsidP="00A52C64">
      <w:pPr>
        <w:pStyle w:val="ListBullet"/>
      </w:pPr>
      <w:r w:rsidRPr="00A52C64">
        <w:t>limitations of comparing results from different types of devices</w:t>
      </w:r>
    </w:p>
    <w:p w:rsidR="00000000" w:rsidRPr="00A52C64" w:rsidP="00A52C64">
      <w:pPr>
        <w:pStyle w:val="ListBullet"/>
      </w:pPr>
      <w:r w:rsidRPr="00A52C64">
        <w:t>workplace procedures for the PoCT devices being used, including:</w:t>
      </w:r>
    </w:p>
    <w:p w:rsidR="00000000" w:rsidRPr="00A52C64" w:rsidP="00A52C64">
      <w:pPr>
        <w:pStyle w:val="ListBullet2"/>
      </w:pPr>
      <w:r w:rsidRPr="00A52C64">
        <w:t>methods of patient identification and preparation</w:t>
      </w:r>
    </w:p>
    <w:p w:rsidR="00000000" w:rsidRPr="00A52C64" w:rsidP="00A52C64">
      <w:pPr>
        <w:pStyle w:val="ListBullet2"/>
      </w:pPr>
      <w:r w:rsidRPr="00A52C64">
        <w:t>confirming suitability for testing and potential impa</w:t>
      </w:r>
      <w:r w:rsidRPr="00A52C64">
        <w:t>cting factors:</w:t>
      </w:r>
    </w:p>
    <w:p w:rsidR="00000000" w:rsidRPr="00A52C64" w:rsidP="00A52C64">
      <w:pPr>
        <w:pStyle w:val="ListBullet3"/>
      </w:pPr>
      <w:r w:rsidRPr="00A52C64">
        <w:t>collection parameters</w:t>
      </w:r>
    </w:p>
    <w:p w:rsidR="00000000" w:rsidRPr="00A52C64" w:rsidP="00A52C64">
      <w:pPr>
        <w:pStyle w:val="ListBullet3"/>
      </w:pPr>
      <w:r w:rsidRPr="00A52C64">
        <w:t>patient preparation</w:t>
      </w:r>
    </w:p>
    <w:p w:rsidR="00000000" w:rsidRPr="00A52C64" w:rsidP="00A52C64">
      <w:pPr>
        <w:pStyle w:val="ListBullet3"/>
      </w:pPr>
      <w:r w:rsidRPr="00A52C64">
        <w:t>specimen volume</w:t>
      </w:r>
    </w:p>
    <w:p w:rsidR="00000000" w:rsidRPr="00A52C64" w:rsidP="00A52C64">
      <w:pPr>
        <w:pStyle w:val="ListBullet3"/>
      </w:pPr>
      <w:r w:rsidRPr="00A52C64">
        <w:t>specimen identification</w:t>
      </w:r>
    </w:p>
    <w:p w:rsidR="00000000" w:rsidRPr="00A52C64" w:rsidP="00A52C64">
      <w:pPr>
        <w:pStyle w:val="ListBullet2"/>
      </w:pPr>
      <w:r w:rsidRPr="00A52C64">
        <w:t>device operation, quality control requirements and navigation</w:t>
      </w:r>
    </w:p>
    <w:p w:rsidR="00000000" w:rsidRPr="00A52C64" w:rsidP="00A52C64">
      <w:pPr>
        <w:pStyle w:val="ListBullet2"/>
      </w:pPr>
      <w:r w:rsidRPr="00A52C64">
        <w:t>safety and personal protective equipment requirements for handling and disposal of reagents</w:t>
      </w:r>
    </w:p>
    <w:p w:rsidR="00000000" w:rsidRPr="00A52C64" w:rsidP="00A52C64">
      <w:pPr>
        <w:pStyle w:val="ListBullet2"/>
      </w:pPr>
      <w:r w:rsidRPr="00A52C64">
        <w:t>consumables and reagents storage and stability</w:t>
      </w:r>
    </w:p>
    <w:p w:rsidR="00000000" w:rsidRPr="00A52C64" w:rsidP="00A52C64">
      <w:pPr>
        <w:pStyle w:val="ListBullet2"/>
      </w:pPr>
      <w:r w:rsidRPr="00A52C64">
        <w:t xml:space="preserve">device troubleshooting </w:t>
      </w:r>
    </w:p>
    <w:p w:rsidR="00000000" w:rsidRPr="00A52C64" w:rsidP="00A52C64">
      <w:pPr>
        <w:pStyle w:val="ListBullet2"/>
      </w:pPr>
      <w:r w:rsidRPr="00A52C64">
        <w:t>recording of results</w:t>
      </w:r>
    </w:p>
    <w:p w:rsidR="00000000" w:rsidRPr="00A52C64" w:rsidP="00A52C64">
      <w:pPr>
        <w:pStyle w:val="ListBullet2"/>
      </w:pPr>
      <w:r w:rsidRPr="00A52C64">
        <w:t>reporting of issues outside area of responsibility:</w:t>
      </w:r>
    </w:p>
    <w:p w:rsidR="00000000" w:rsidRPr="00A52C64" w:rsidP="00A52C64">
      <w:pPr>
        <w:pStyle w:val="ListBullet3"/>
      </w:pPr>
      <w:r w:rsidRPr="00A52C64">
        <w:t>device failure</w:t>
      </w:r>
    </w:p>
    <w:p w:rsidR="00000000" w:rsidRPr="00A52C64" w:rsidP="00A52C64">
      <w:pPr>
        <w:pStyle w:val="ListBullet3"/>
      </w:pPr>
      <w:r w:rsidRPr="00A52C64">
        <w:t>quality control</w:t>
      </w:r>
    </w:p>
    <w:p w:rsidR="00000000" w:rsidRPr="00A52C64" w:rsidP="00A52C64">
      <w:pPr>
        <w:pStyle w:val="ListBullet3"/>
      </w:pPr>
      <w:r w:rsidRPr="00A52C64">
        <w:t>need for any technology updates</w:t>
      </w:r>
    </w:p>
    <w:p w:rsidR="003720E6" w:rsidP="00A52C64">
      <w:pPr>
        <w:pStyle w:val="ListBullet2"/>
      </w:pPr>
      <w:r w:rsidRPr="00A52C64">
        <w:t>any device cleaning and minor maintenance, incl</w:t>
      </w:r>
      <w:r w:rsidRPr="00A52C64">
        <w:t>uding any servicing requirements.</w:t>
      </w:r>
    </w:p>
    <w:p w:rsidR="003720E6" w:rsidP="00A52C64">
      <w:pPr>
        <w:pStyle w:val="ListBullet2"/>
      </w:pPr>
    </w:p>
    <w:p w:rsidR="00000000" w:rsidRPr="00A52C64" w:rsidP="00A52C64">
      <w:pPr>
        <w:pStyle w:val="Heading1"/>
      </w:pPr>
      <w:bookmarkStart w:id="4" w:name="O_1258363"/>
      <w:bookmarkEnd w:id="4"/>
      <w:r w:rsidRPr="00A52C64">
        <w:t>Assessment Conditions</w:t>
      </w:r>
    </w:p>
    <w:p w:rsidR="00000000" w:rsidRPr="00A52C64" w:rsidP="003720E6">
      <w:pPr>
        <w:pStyle w:val="BodyText"/>
      </w:pPr>
      <w:r w:rsidRPr="00A52C64">
        <w:t xml:space="preserve">Skills must have been demonstrated in the workplace or in a simulated environment that reflects workplace conditions and contingencies. The following </w:t>
      </w:r>
      <w:r w:rsidRPr="00A52C64">
        <w:t xml:space="preserve">conditions must be met for this unit: </w:t>
      </w:r>
    </w:p>
    <w:p w:rsidR="00000000" w:rsidRPr="00A52C64" w:rsidP="00A52C64">
      <w:pPr>
        <w:pStyle w:val="ListBullet"/>
      </w:pPr>
      <w:r w:rsidRPr="00A52C64">
        <w:t>use of suitable facilities, equipment and resources, including:</w:t>
      </w:r>
    </w:p>
    <w:p w:rsidR="00000000" w:rsidRPr="00A52C64" w:rsidP="00A52C64">
      <w:pPr>
        <w:pStyle w:val="ListBullet2"/>
      </w:pPr>
      <w:r w:rsidRPr="00A52C64">
        <w:t>PoCT devices and associated consumables</w:t>
      </w:r>
    </w:p>
    <w:p w:rsidR="00000000" w:rsidRPr="00A52C64" w:rsidP="00A52C64">
      <w:pPr>
        <w:pStyle w:val="ListBullet2"/>
      </w:pPr>
      <w:r w:rsidRPr="00A52C64">
        <w:t>specimens for testing</w:t>
      </w:r>
    </w:p>
    <w:p w:rsidR="00000000" w:rsidRPr="00A52C64" w:rsidP="00A52C64">
      <w:pPr>
        <w:pStyle w:val="ListBullet2"/>
      </w:pPr>
      <w:r w:rsidRPr="00A52C64">
        <w:t xml:space="preserve">workplace procedures </w:t>
      </w:r>
    </w:p>
    <w:p w:rsidR="00000000" w:rsidRPr="00A52C64" w:rsidP="00A52C64">
      <w:pPr>
        <w:pStyle w:val="ListBullet2"/>
      </w:pPr>
      <w:r w:rsidRPr="00A52C64">
        <w:t>PPE and infection prevention procedures for PoCT.</w:t>
      </w:r>
    </w:p>
    <w:p w:rsidR="003720E6" w:rsidP="003720E6">
      <w:pPr>
        <w:pStyle w:val="BodyText"/>
      </w:pPr>
      <w:r w:rsidRPr="00A52C64">
        <w:t>Assessors must sa</w:t>
      </w:r>
      <w:r w:rsidRPr="00A52C64">
        <w:t>tisfy the NVR/AQTF mandatory competency requirements for assessors.</w:t>
      </w:r>
    </w:p>
    <w:p w:rsidR="00000000" w:rsidRPr="00A52C64" w:rsidP="00A52C64">
      <w:pPr>
        <w:pStyle w:val="Heading1"/>
      </w:pPr>
      <w:bookmarkStart w:id="5" w:name="O_1258366"/>
      <w:bookmarkEnd w:id="5"/>
      <w:r w:rsidRPr="00A52C64">
        <w:t>Links</w:t>
      </w:r>
    </w:p>
    <w:p w:rsidR="00000000" w:rsidRPr="00A52C64" w:rsidP="003720E6">
      <w:pPr>
        <w:pStyle w:val="BodyText"/>
      </w:pPr>
      <w:r w:rsidRPr="00A52C64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A54B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52C64" w:rsidP="00A52C64"/>
    <w:sectPr w:rsidSect="00A52C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64" w:rsidRPr="003720E6" w:rsidP="00372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E6" w:rsidP="00A52C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20E6" w:rsidP="00A52C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20E6" w:rsidP="00A52C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C64" w:rsidRPr="003720E6" w:rsidP="00372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E6" w:rsidRPr="002D2AF8" w:rsidP="00A52C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MSL974036 Process body fluid specimens using a point of care testing device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3720E6" w:rsidP="00A52C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8A64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C2D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DC2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C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C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C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C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C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C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C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C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C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C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C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C64"/>
  </w:style>
  <w:style w:type="character" w:customStyle="1" w:styleId="Heading1Char">
    <w:name w:val="Heading 1 Char"/>
    <w:basedOn w:val="DefaultParagraphFont"/>
    <w:link w:val="Heading1"/>
    <w:rsid w:val="00A52C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C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C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2C6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2C6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2C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C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2C6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2C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C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C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C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C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C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C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C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C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C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C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C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C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C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C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2C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2C64"/>
    <w:rPr>
      <w:b/>
      <w:spacing w:val="0"/>
    </w:rPr>
  </w:style>
  <w:style w:type="paragraph" w:customStyle="1" w:styleId="SuperTitle">
    <w:name w:val="SuperTitle"/>
    <w:basedOn w:val="Title"/>
    <w:rsid w:val="00A52C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C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C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2C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C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C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C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C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C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C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C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C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C64"/>
    <w:rPr>
      <w:i/>
    </w:rPr>
  </w:style>
  <w:style w:type="paragraph" w:styleId="Caption">
    <w:name w:val="caption"/>
    <w:basedOn w:val="BodyText"/>
    <w:next w:val="Normal"/>
    <w:qFormat/>
    <w:rsid w:val="00A52C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C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C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C64"/>
  </w:style>
  <w:style w:type="paragraph" w:styleId="TableofFigures">
    <w:name w:val="table of figures"/>
    <w:basedOn w:val="Normal"/>
    <w:next w:val="Normal"/>
    <w:semiHidden/>
    <w:rsid w:val="00A52C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C6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2C64"/>
    <w:rPr>
      <w:rFonts w:ascii="Wingdings" w:hAnsi="Wingdings"/>
    </w:rPr>
  </w:style>
  <w:style w:type="paragraph" w:customStyle="1" w:styleId="TableHeading">
    <w:name w:val="Table Heading"/>
    <w:basedOn w:val="HeadingBase"/>
    <w:rsid w:val="00A52C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C64"/>
    <w:rPr>
      <w:color w:val="0033CC"/>
      <w:u w:val="none"/>
    </w:rPr>
  </w:style>
  <w:style w:type="paragraph" w:customStyle="1" w:styleId="BodyTextRight">
    <w:name w:val="Body Text Right"/>
    <w:basedOn w:val="BodyText"/>
    <w:rsid w:val="00A52C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C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C6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C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C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C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C64"/>
    <w:rPr>
      <w:sz w:val="32"/>
    </w:rPr>
  </w:style>
  <w:style w:type="paragraph" w:customStyle="1" w:styleId="HeadingProcedure">
    <w:name w:val="Heading Procedure"/>
    <w:basedOn w:val="HeadingBase"/>
    <w:next w:val="Normal"/>
    <w:rsid w:val="00A52C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C64"/>
    <w:pPr>
      <w:spacing w:before="60" w:after="60"/>
    </w:pPr>
  </w:style>
  <w:style w:type="paragraph" w:styleId="ListContinue">
    <w:name w:val="List Continue"/>
    <w:basedOn w:val="List"/>
    <w:rsid w:val="00A52C64"/>
    <w:pPr>
      <w:ind w:firstLine="0"/>
    </w:pPr>
  </w:style>
  <w:style w:type="paragraph" w:customStyle="1" w:styleId="ListNote">
    <w:name w:val="List Note"/>
    <w:basedOn w:val="List"/>
    <w:rsid w:val="00A52C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C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C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C64"/>
    <w:rPr>
      <w:rFonts w:ascii="Courier New" w:hAnsi="Courier New"/>
    </w:rPr>
  </w:style>
  <w:style w:type="paragraph" w:customStyle="1" w:styleId="NoteBullet">
    <w:name w:val="Note Bullet"/>
    <w:basedOn w:val="Note"/>
    <w:rsid w:val="00A52C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C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C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C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C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2C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C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C64"/>
    <w:rPr>
      <w:b/>
      <w:smallCaps/>
    </w:rPr>
  </w:style>
  <w:style w:type="paragraph" w:customStyle="1" w:styleId="TableListNumber">
    <w:name w:val="Table List Number"/>
    <w:basedOn w:val="ListNumber"/>
    <w:rsid w:val="00A52C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C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C64"/>
    <w:pPr>
      <w:numPr>
        <w:numId w:val="10"/>
      </w:numPr>
    </w:pPr>
  </w:style>
  <w:style w:type="paragraph" w:customStyle="1" w:styleId="ListAlpha2">
    <w:name w:val="List Alpha 2"/>
    <w:basedOn w:val="List2"/>
    <w:rsid w:val="00A52C64"/>
    <w:pPr>
      <w:numPr>
        <w:numId w:val="9"/>
      </w:numPr>
    </w:pPr>
  </w:style>
  <w:style w:type="paragraph" w:styleId="List2">
    <w:name w:val="List 2"/>
    <w:basedOn w:val="BodyText"/>
    <w:rsid w:val="00A52C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C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C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C6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2C6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2C64"/>
    <w:pPr>
      <w:numPr>
        <w:numId w:val="5"/>
      </w:numPr>
    </w:pPr>
  </w:style>
  <w:style w:type="paragraph" w:styleId="ListContinue2">
    <w:name w:val="List Continue 2"/>
    <w:basedOn w:val="List2"/>
    <w:rsid w:val="00A52C64"/>
    <w:pPr>
      <w:ind w:firstLine="0"/>
    </w:pPr>
  </w:style>
  <w:style w:type="paragraph" w:styleId="ListContinue3">
    <w:name w:val="List Continue 3"/>
    <w:basedOn w:val="List3"/>
    <w:rsid w:val="00A52C64"/>
    <w:pPr>
      <w:ind w:left="1021" w:firstLine="0"/>
    </w:pPr>
  </w:style>
  <w:style w:type="paragraph" w:styleId="ListContinue4">
    <w:name w:val="List Continue 4"/>
    <w:basedOn w:val="List4"/>
    <w:rsid w:val="00A52C64"/>
    <w:pPr>
      <w:ind w:firstLine="0"/>
    </w:pPr>
  </w:style>
  <w:style w:type="paragraph" w:styleId="ListContinue5">
    <w:name w:val="List Continue 5"/>
    <w:basedOn w:val="List5"/>
    <w:rsid w:val="00A52C64"/>
    <w:pPr>
      <w:ind w:firstLine="0"/>
    </w:pPr>
  </w:style>
  <w:style w:type="paragraph" w:styleId="ListNumber3">
    <w:name w:val="List Number 3"/>
    <w:basedOn w:val="List3"/>
    <w:rsid w:val="00A52C64"/>
    <w:pPr>
      <w:numPr>
        <w:numId w:val="6"/>
      </w:numPr>
    </w:pPr>
  </w:style>
  <w:style w:type="paragraph" w:styleId="ListNumber4">
    <w:name w:val="List Number 4"/>
    <w:basedOn w:val="List4"/>
    <w:rsid w:val="00A52C64"/>
    <w:pPr>
      <w:numPr>
        <w:numId w:val="7"/>
      </w:numPr>
    </w:pPr>
  </w:style>
  <w:style w:type="paragraph" w:styleId="ListNumber5">
    <w:name w:val="List Number 5"/>
    <w:basedOn w:val="List5"/>
    <w:rsid w:val="00A52C64"/>
    <w:pPr>
      <w:numPr>
        <w:numId w:val="8"/>
      </w:numPr>
    </w:pPr>
  </w:style>
  <w:style w:type="paragraph" w:styleId="BlockText">
    <w:name w:val="Block Text"/>
    <w:basedOn w:val="Normal"/>
    <w:rsid w:val="00A52C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C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C64"/>
    <w:rPr>
      <w:sz w:val="16"/>
      <w:vertAlign w:val="superscript"/>
    </w:rPr>
  </w:style>
  <w:style w:type="character" w:customStyle="1" w:styleId="Symbols">
    <w:name w:val="Symbols"/>
    <w:basedOn w:val="DefaultParagraphFont"/>
    <w:rsid w:val="00A52C64"/>
    <w:rPr>
      <w:rFonts w:ascii="Symbol" w:hAnsi="Symbol"/>
    </w:rPr>
  </w:style>
  <w:style w:type="character" w:customStyle="1" w:styleId="MenuOptions">
    <w:name w:val="Menu Options"/>
    <w:basedOn w:val="DefaultParagraphFont"/>
    <w:rsid w:val="00A52C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C64"/>
    <w:rPr>
      <w:b/>
    </w:rPr>
  </w:style>
  <w:style w:type="character" w:customStyle="1" w:styleId="Underlined">
    <w:name w:val="Underlined"/>
    <w:basedOn w:val="DefaultParagraphFont"/>
    <w:rsid w:val="00A52C64"/>
    <w:rPr>
      <w:u w:val="single"/>
    </w:rPr>
  </w:style>
  <w:style w:type="paragraph" w:customStyle="1" w:styleId="TableBodyTextRight">
    <w:name w:val="Table Body Text Right"/>
    <w:basedOn w:val="TableBodyText"/>
    <w:rsid w:val="00A52C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C64"/>
    <w:rPr>
      <w:sz w:val="18"/>
    </w:rPr>
  </w:style>
  <w:style w:type="paragraph" w:customStyle="1" w:styleId="BodySmallRight">
    <w:name w:val="Body Small Right"/>
    <w:basedOn w:val="BodyTextRight"/>
    <w:rsid w:val="00A52C64"/>
    <w:rPr>
      <w:sz w:val="18"/>
      <w:szCs w:val="18"/>
    </w:rPr>
  </w:style>
  <w:style w:type="paragraph" w:customStyle="1" w:styleId="MarginEdition">
    <w:name w:val="Margin Edition"/>
    <w:basedOn w:val="MarginNote"/>
    <w:rsid w:val="00A52C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C64"/>
    <w:rPr>
      <w:sz w:val="2"/>
      <w:szCs w:val="2"/>
    </w:rPr>
  </w:style>
  <w:style w:type="character" w:customStyle="1" w:styleId="Small">
    <w:name w:val="Small"/>
    <w:basedOn w:val="DefaultParagraphFont"/>
    <w:rsid w:val="00A52C64"/>
    <w:rPr>
      <w:sz w:val="16"/>
    </w:rPr>
  </w:style>
  <w:style w:type="paragraph" w:customStyle="1" w:styleId="WideTable">
    <w:name w:val="Wide Table"/>
    <w:basedOn w:val="Normal"/>
    <w:rsid w:val="00A52C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C64"/>
  </w:style>
  <w:style w:type="paragraph" w:styleId="Quote">
    <w:name w:val="Quote"/>
    <w:basedOn w:val="Heading1"/>
    <w:link w:val="QuoteChar"/>
    <w:qFormat/>
    <w:rsid w:val="00A52C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C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C64"/>
    <w:pPr>
      <w:pageBreakBefore/>
    </w:pPr>
  </w:style>
  <w:style w:type="paragraph" w:customStyle="1" w:styleId="Border">
    <w:name w:val="Border"/>
    <w:basedOn w:val="Normal"/>
    <w:qFormat/>
    <w:rsid w:val="00A52C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C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C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C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C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C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C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C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C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C64"/>
    <w:rPr>
      <w:u w:val="single"/>
    </w:rPr>
  </w:style>
  <w:style w:type="character" w:customStyle="1" w:styleId="BoldandItalics">
    <w:name w:val="Bold and Italics"/>
    <w:qFormat/>
    <w:rsid w:val="00A52C64"/>
    <w:rPr>
      <w:b/>
      <w:i/>
      <w:u w:val="none"/>
    </w:rPr>
  </w:style>
  <w:style w:type="paragraph" w:styleId="BalloonText">
    <w:name w:val="Balloon Text"/>
    <w:basedOn w:val="Normal"/>
    <w:link w:val="BalloonTextChar"/>
    <w:rsid w:val="00A52C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C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C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C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C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C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C64"/>
    <w:pPr>
      <w:spacing w:before="0" w:after="0"/>
    </w:pPr>
  </w:style>
  <w:style w:type="paragraph" w:customStyle="1" w:styleId="BodyTextBold">
    <w:name w:val="Body Text Bold"/>
    <w:basedOn w:val="BodyText"/>
    <w:qFormat/>
    <w:rsid w:val="00A52C64"/>
    <w:rPr>
      <w:b/>
    </w:rPr>
  </w:style>
  <w:style w:type="character" w:styleId="Hyperlink">
    <w:name w:val="Hyperlink"/>
    <w:basedOn w:val="DefaultParagraphFont"/>
    <w:uiPriority w:val="99"/>
    <w:unhideWhenUsed/>
    <w:rsid w:val="00372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3147</Characters>
  <Application>Microsoft Office Word</Application>
  <DocSecurity>0</DocSecurity>
  <Lines>87</Lines>
  <Paragraphs>76</Paragraphs>
  <ScaleCrop>false</ScaleCrop>
  <Company>Author-it Software Corporation Ltd.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MSL974036 Process body fluid specimens using a point of care testing device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2022-12-19T23:50:00Z</dcterms:created>
  <dcterms:modified xsi:type="dcterms:W3CDTF">2022-12-19T23:50:00Z</dcterms:modified>
</cp:coreProperties>
</file>