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455" w:rsidP="00725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MSL974034 Perform biological procedures</w:t>
      </w:r>
      <w:r>
        <w:fldChar w:fldCharType="end"/>
      </w:r>
    </w:p>
    <w:p w:rsidR="00725455" w:rsidP="00725455">
      <w:pPr>
        <w:pStyle w:val="Version"/>
        <w:sectPr w:rsidSect="009B5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34C" w:rsidP="009B534C">
      <w:pPr>
        <w:pStyle w:val="SuperHeading"/>
      </w:pPr>
      <w:r w:rsidRPr="009B534C">
        <w:t>MSL974034 Perform biological procedures</w:t>
      </w:r>
    </w:p>
    <w:p w:rsidR="00000000" w:rsidRPr="009B534C" w:rsidP="009B534C">
      <w:pPr>
        <w:pStyle w:val="Heading1"/>
      </w:pPr>
      <w:bookmarkStart w:id="1" w:name="O_1258312"/>
      <w:bookmarkEnd w:id="1"/>
      <w:r w:rsidRPr="009B534C">
        <w:t>Modification History</w:t>
      </w:r>
    </w:p>
    <w:p w:rsidR="00725455" w:rsidP="00725455">
      <w:pPr>
        <w:pStyle w:val="BodyText"/>
      </w:pPr>
      <w:r w:rsidRPr="009B534C">
        <w:t>Release 1. Supersedes and equivalent to MSL974021 Perform biological procedures. Element 3 removed as it was essentially knowledge. Minor changes to Performance Criteria. Clarification around allowing choice of multi-step staining meth</w:t>
      </w:r>
      <w:r w:rsidRPr="009B534C">
        <w:t>od in Performance Evidence. Addition of test procedures and other minor changes to Knowledge Evidence.</w:t>
      </w:r>
    </w:p>
    <w:p w:rsidR="00000000" w:rsidRPr="009B534C" w:rsidP="009B534C">
      <w:pPr>
        <w:pStyle w:val="Heading1"/>
      </w:pPr>
      <w:bookmarkStart w:id="2" w:name="O_1258313"/>
      <w:bookmarkEnd w:id="2"/>
      <w:r w:rsidRPr="009B534C">
        <w:t>Application</w:t>
      </w:r>
    </w:p>
    <w:p w:rsidR="00000000" w:rsidRPr="009B534C" w:rsidP="00725455">
      <w:pPr>
        <w:pStyle w:val="BodyText"/>
      </w:pPr>
      <w:r w:rsidRPr="009B534C">
        <w:t>This unit of competency describes the skills and knowledge to interpret work requirements, prepare samples, and perform r</w:t>
      </w:r>
      <w:r w:rsidRPr="009B534C">
        <w:t>outine biological procedures. These procedures may involve several steps and are used to classify organisms or biologically active compounds by analysing their biological and/or chemical characteristics. This unit includes interpretation of results and tro</w:t>
      </w:r>
      <w:r w:rsidRPr="009B534C">
        <w:t>ubleshooting obvious departures from standard procedures.</w:t>
      </w:r>
    </w:p>
    <w:p w:rsidR="00000000" w:rsidRPr="009B534C" w:rsidP="00725455">
      <w:pPr>
        <w:pStyle w:val="BodyText"/>
      </w:pPr>
      <w:r w:rsidRPr="009B534C">
        <w:t>This unit of competency applies to technical assistants working in the biomedical, environmental, biotechnology and education industry sectors.</w:t>
      </w:r>
    </w:p>
    <w:p w:rsidR="00725455" w:rsidP="00725455">
      <w:pPr>
        <w:pStyle w:val="BodyText"/>
      </w:pPr>
      <w:r w:rsidRPr="009B534C">
        <w:t>No licensing or certification requirements exist at th</w:t>
      </w:r>
      <w:r w:rsidRPr="009B534C">
        <w:t>e time of publication. However, regulations and/or external accreditation requirements for laboratory operations exist, so local requirements should be checked. Relevant legislation, industry standards and codes of practice within Australia must also be ap</w:t>
      </w:r>
      <w:r w:rsidRPr="009B534C">
        <w:t>plied.</w:t>
      </w:r>
    </w:p>
    <w:p w:rsidR="00000000" w:rsidRPr="009B534C" w:rsidP="009B534C">
      <w:pPr>
        <w:pStyle w:val="Heading1"/>
      </w:pPr>
      <w:bookmarkStart w:id="3" w:name="O_1258314"/>
      <w:bookmarkEnd w:id="3"/>
      <w:r w:rsidRPr="009B534C">
        <w:t>Pre-requisite Unit</w:t>
      </w:r>
    </w:p>
    <w:p w:rsidR="00000000" w:rsidRPr="009B534C" w:rsidP="00725455">
      <w:pPr>
        <w:pStyle w:val="BodyText"/>
      </w:pPr>
      <w:r w:rsidRPr="009B534C">
        <w:t>Nil.</w:t>
      </w:r>
    </w:p>
    <w:p w:rsidR="00000000" w:rsidRPr="009B534C" w:rsidP="009B534C">
      <w:pPr>
        <w:pStyle w:val="Heading1"/>
      </w:pPr>
      <w:bookmarkStart w:id="4" w:name="O_1258315"/>
      <w:bookmarkEnd w:id="4"/>
      <w:r w:rsidRPr="009B534C">
        <w:t>Competency Field</w:t>
      </w:r>
    </w:p>
    <w:p w:rsidR="00000000" w:rsidRPr="009B534C" w:rsidP="00725455">
      <w:pPr>
        <w:pStyle w:val="BodyText"/>
      </w:pPr>
      <w:r w:rsidRPr="009B534C">
        <w:t>Testing</w:t>
      </w:r>
    </w:p>
    <w:p w:rsidR="00000000" w:rsidRPr="009B534C" w:rsidP="009B534C">
      <w:pPr>
        <w:pStyle w:val="Heading1"/>
      </w:pPr>
      <w:bookmarkStart w:id="5" w:name="O_1258317"/>
      <w:bookmarkEnd w:id="5"/>
      <w:r w:rsidRPr="009B534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25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34C" w:rsidP="009B534C">
            <w:pPr>
              <w:pStyle w:val="BodyText"/>
            </w:pPr>
            <w:r w:rsidRPr="009B534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rPr>
                <w:rStyle w:val="SpecialBold"/>
              </w:rPr>
              <w:t>Performance Criteria</w:t>
            </w:r>
          </w:p>
        </w:tc>
      </w:tr>
      <w:tr w:rsidTr="00725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Performance criteria describe the performance needed to demonstrate achievement of the element.</w:t>
            </w:r>
          </w:p>
        </w:tc>
      </w:tr>
      <w:tr w:rsidTr="00725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1. Interpret and schedule work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34C" w:rsidP="009B534C">
            <w:pPr>
              <w:pStyle w:val="BodyText"/>
            </w:pPr>
            <w:r w:rsidRPr="009B534C">
              <w:t>1.1 Review work request to identify samples, required procedures and materials equipment involved</w:t>
            </w:r>
          </w:p>
          <w:p w:rsidR="00000000" w:rsidRPr="009B534C" w:rsidP="009B534C">
            <w:pPr>
              <w:pStyle w:val="BodyText"/>
            </w:pPr>
            <w:r w:rsidRPr="009B534C">
              <w:t>1.2 Identify haza</w:t>
            </w:r>
            <w:r w:rsidRPr="009B534C">
              <w:t xml:space="preserve">rds and workplace control measures associated with the </w:t>
            </w:r>
            <w:r w:rsidRPr="009B534C">
              <w:t>sample, preparation methods, reagents and/or equipment</w:t>
            </w:r>
          </w:p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1.3 Plan parallel work sequences to optimise throughput of multiple sets of samples</w:t>
            </w:r>
          </w:p>
        </w:tc>
      </w:tr>
      <w:tr w:rsidTr="00725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2. Receive and prepare biological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34C" w:rsidP="009B534C">
            <w:pPr>
              <w:pStyle w:val="BodyText"/>
            </w:pPr>
            <w:r w:rsidRPr="009B534C">
              <w:t>2.1 Register samples in accordance with workplace procedures, recording details that allow accurate tracking and chain of custody traceable to employee</w:t>
            </w:r>
          </w:p>
          <w:p w:rsidR="00000000" w:rsidRPr="009B534C" w:rsidP="009B534C">
            <w:pPr>
              <w:pStyle w:val="BodyText"/>
            </w:pPr>
            <w:r w:rsidRPr="009B534C">
              <w:t xml:space="preserve">2.2 Match sample provided to accompanying documentation and report any discrepancies in accordance with </w:t>
            </w:r>
            <w:r w:rsidRPr="009B534C">
              <w:t xml:space="preserve">workplace procedures </w:t>
            </w:r>
          </w:p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2.3 Prepare samples in accordance with testing requirements</w:t>
            </w:r>
          </w:p>
        </w:tc>
      </w:tr>
      <w:tr w:rsidTr="00725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3. Perform biological techniques on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34C" w:rsidP="009B534C">
            <w:pPr>
              <w:pStyle w:val="BodyText"/>
            </w:pPr>
            <w:r w:rsidRPr="009B534C">
              <w:t>3.1 Set up and use equipment and reagents in accordance with the method</w:t>
            </w:r>
          </w:p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3.2 Perform techniques in accordance with the standard op</w:t>
            </w:r>
            <w:r w:rsidRPr="009B534C">
              <w:t>erating procedures</w:t>
            </w:r>
          </w:p>
        </w:tc>
      </w:tr>
      <w:tr w:rsidTr="00725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4.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34C" w:rsidP="009B534C">
            <w:pPr>
              <w:pStyle w:val="BodyText"/>
            </w:pPr>
            <w:r w:rsidRPr="009B534C">
              <w:t>4.1 Use established safe work practices and personal protective equipment (PPE) to ensure personal safety and that of other laboratory personnel</w:t>
            </w:r>
          </w:p>
          <w:p w:rsidR="00000000" w:rsidRPr="009B534C" w:rsidP="009B534C">
            <w:pPr>
              <w:pStyle w:val="BodyText"/>
            </w:pPr>
            <w:r w:rsidRPr="009B534C">
              <w:t>4.2 Safely dispose of biohazardous wastes</w:t>
            </w:r>
          </w:p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4.3 Clean, ca</w:t>
            </w:r>
            <w:r w:rsidRPr="009B534C">
              <w:t>re for and store equipment and reagents in accordance with workplace procedures</w:t>
            </w:r>
          </w:p>
        </w:tc>
      </w:tr>
      <w:tr w:rsidTr="007254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34C">
            <w:pPr>
              <w:pStyle w:val="BodyText"/>
              <w:rPr>
                <w:lang w:val="en-NZ"/>
              </w:rPr>
            </w:pPr>
            <w:r w:rsidRPr="009B534C">
              <w:t>5. Maintain laboratory records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34C" w:rsidP="009B534C">
            <w:pPr>
              <w:pStyle w:val="BodyText"/>
            </w:pPr>
            <w:r w:rsidRPr="009B534C">
              <w:t>5.1 Record data and results in accordance with workplace procedures</w:t>
            </w:r>
          </w:p>
          <w:p w:rsidR="00000000" w:rsidRPr="009B534C" w:rsidP="009B534C">
            <w:pPr>
              <w:pStyle w:val="BodyText"/>
            </w:pPr>
            <w:r w:rsidRPr="009B534C">
              <w:t>5.2 Follow procedures to support traceability of sample from receipt to repo</w:t>
            </w:r>
            <w:r w:rsidRPr="009B534C">
              <w:t>rting of results</w:t>
            </w:r>
          </w:p>
        </w:tc>
      </w:tr>
    </w:tbl>
    <w:p w:rsidR="00725455" w:rsidP="009B534C">
      <w:pPr>
        <w:pStyle w:val="BodyText"/>
      </w:pPr>
    </w:p>
    <w:p w:rsidR="00725455" w:rsidP="009B534C">
      <w:pPr>
        <w:pStyle w:val="BodyText"/>
      </w:pPr>
    </w:p>
    <w:p w:rsidR="00000000" w:rsidRPr="009B534C" w:rsidP="009B534C">
      <w:pPr>
        <w:pStyle w:val="Heading1"/>
      </w:pPr>
      <w:bookmarkStart w:id="6" w:name="O_1258318"/>
      <w:bookmarkEnd w:id="6"/>
      <w:r w:rsidRPr="009B534C">
        <w:t>Foundation Skills</w:t>
      </w:r>
    </w:p>
    <w:p w:rsidR="00000000" w:rsidRPr="009B534C" w:rsidP="00725455">
      <w:pPr>
        <w:pStyle w:val="BodyText"/>
      </w:pPr>
      <w:r w:rsidRPr="009B534C">
        <w:t>This section describes those language, literacy, numeracy and employment skills that are essential to performance.</w:t>
      </w:r>
    </w:p>
    <w:p w:rsidR="00725455" w:rsidP="00725455">
      <w:pPr>
        <w:pStyle w:val="BodyText"/>
      </w:pPr>
      <w:r w:rsidRPr="009B534C">
        <w:t>Foundation skills essential to performance are explicit in the performance criteria of this unit of competency.</w:t>
      </w:r>
    </w:p>
    <w:p w:rsidR="00000000" w:rsidRPr="009B534C" w:rsidP="009B534C">
      <w:pPr>
        <w:pStyle w:val="Heading1"/>
      </w:pPr>
      <w:bookmarkStart w:id="7" w:name="O_1258320"/>
      <w:bookmarkEnd w:id="7"/>
      <w:r w:rsidRPr="009B534C">
        <w:t>Unit Mapping Information</w:t>
      </w:r>
    </w:p>
    <w:p w:rsidR="00725455" w:rsidP="00725455">
      <w:pPr>
        <w:pStyle w:val="BodyText"/>
      </w:pPr>
      <w:r w:rsidRPr="009B534C">
        <w:t>Supersedes and is equivalent to MSL974021 Perform biological procedures.</w:t>
      </w:r>
    </w:p>
    <w:p w:rsidR="00000000" w:rsidRPr="009B534C" w:rsidP="009B534C">
      <w:pPr>
        <w:pStyle w:val="Heading1"/>
      </w:pPr>
      <w:bookmarkStart w:id="8" w:name="O_1258327"/>
      <w:bookmarkEnd w:id="8"/>
      <w:r w:rsidRPr="009B534C">
        <w:t>Links</w:t>
      </w:r>
    </w:p>
    <w:p w:rsidR="00000000" w:rsidRPr="009B534C" w:rsidP="00725455">
      <w:pPr>
        <w:pStyle w:val="BodyText"/>
      </w:pPr>
      <w:r w:rsidRPr="009B534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1145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B534C" w:rsidP="00725455">
      <w:pPr>
        <w:pStyle w:val="BodyText"/>
        <w:sectPr w:rsidSect="009B53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34C" w:rsidP="009B534C">
      <w:pPr>
        <w:pStyle w:val="SuperHeading"/>
      </w:pPr>
      <w:r w:rsidRPr="009B534C">
        <w:t>Assessment Requirements for MSL97</w:t>
      </w:r>
      <w:r w:rsidRPr="009B534C">
        <w:t>4034 Perform biological procedures</w:t>
      </w:r>
    </w:p>
    <w:p w:rsidR="00000000" w:rsidRPr="009B534C" w:rsidP="009B534C">
      <w:pPr>
        <w:pStyle w:val="Heading1"/>
      </w:pPr>
      <w:bookmarkStart w:id="9" w:name="O_1258322"/>
      <w:bookmarkEnd w:id="9"/>
      <w:r w:rsidRPr="009B534C">
        <w:t>Modification History</w:t>
      </w:r>
    </w:p>
    <w:p w:rsidR="00725455" w:rsidP="00725455">
      <w:pPr>
        <w:pStyle w:val="BodyText"/>
      </w:pPr>
      <w:r w:rsidRPr="009B534C">
        <w:t>Release 1. Supersedes and equivalent to MSL974021 Perform biological procedures. Element 3 removed as it was essentially knowledge. Minor changes to Performance Criteria. Clarificati</w:t>
      </w:r>
      <w:r w:rsidRPr="009B534C">
        <w:t>on around allowing choice of multi-step staining method in Performance Evidence. Addition of test procedures and other minor changes to Knowledge Evidence.</w:t>
      </w:r>
    </w:p>
    <w:p w:rsidR="00000000" w:rsidRPr="009B534C" w:rsidP="009B534C">
      <w:pPr>
        <w:pStyle w:val="Heading1"/>
      </w:pPr>
      <w:bookmarkStart w:id="10" w:name="O_1258323"/>
      <w:bookmarkEnd w:id="10"/>
      <w:r w:rsidRPr="009B534C">
        <w:t>Performance Evidence</w:t>
      </w:r>
    </w:p>
    <w:p w:rsidR="00000000" w:rsidRPr="009B534C" w:rsidP="00725455">
      <w:pPr>
        <w:pStyle w:val="BodyText"/>
      </w:pPr>
      <w:r w:rsidRPr="009B534C">
        <w:t>There must be evidence the candidate has completed the task</w:t>
      </w:r>
      <w:r w:rsidRPr="009B534C">
        <w:t>s outlined in the elements and performance criteria of this unit, and:</w:t>
      </w:r>
    </w:p>
    <w:p w:rsidR="00000000" w:rsidRPr="009B534C" w:rsidP="009B534C">
      <w:pPr>
        <w:pStyle w:val="ListBullet"/>
      </w:pPr>
      <w:r w:rsidRPr="009B534C">
        <w:t>safely and accurately performed 3 different multistep biological procedures, using at least 2 different techniques from the following list:</w:t>
      </w:r>
    </w:p>
    <w:p w:rsidR="00000000" w:rsidRPr="009B534C" w:rsidP="009B534C">
      <w:pPr>
        <w:pStyle w:val="ListBullet2"/>
      </w:pPr>
      <w:r w:rsidRPr="009B534C">
        <w:t>multistep staining, either:</w:t>
      </w:r>
    </w:p>
    <w:p w:rsidR="00000000" w:rsidRPr="009B534C" w:rsidP="009B534C">
      <w:pPr>
        <w:pStyle w:val="ListBullet3"/>
      </w:pPr>
      <w:r w:rsidRPr="009B534C">
        <w:t>haematological</w:t>
      </w:r>
    </w:p>
    <w:p w:rsidR="00000000" w:rsidRPr="009B534C" w:rsidP="009B534C">
      <w:pPr>
        <w:pStyle w:val="ListBullet3"/>
      </w:pPr>
      <w:r w:rsidRPr="009B534C">
        <w:t>histological</w:t>
      </w:r>
    </w:p>
    <w:p w:rsidR="00000000" w:rsidRPr="009B534C" w:rsidP="009B534C">
      <w:pPr>
        <w:pStyle w:val="ListBullet3"/>
      </w:pPr>
      <w:r w:rsidRPr="009B534C">
        <w:t>microbiological</w:t>
      </w:r>
    </w:p>
    <w:p w:rsidR="00000000" w:rsidRPr="009B534C" w:rsidP="009B534C">
      <w:pPr>
        <w:pStyle w:val="ListBullet2"/>
      </w:pPr>
      <w:r w:rsidRPr="009B534C">
        <w:t>preparation and examination of samples to demonstrate mitosis microscopically</w:t>
      </w:r>
    </w:p>
    <w:p w:rsidR="00000000" w:rsidRPr="009B534C" w:rsidP="009B534C">
      <w:pPr>
        <w:pStyle w:val="ListBullet2"/>
      </w:pPr>
      <w:r w:rsidRPr="009B534C">
        <w:t>preparation and enumeration of microscopic samples</w:t>
      </w:r>
    </w:p>
    <w:p w:rsidR="00000000" w:rsidRPr="009B534C" w:rsidP="009B534C">
      <w:pPr>
        <w:pStyle w:val="ListBullet2"/>
      </w:pPr>
      <w:r w:rsidRPr="009B534C">
        <w:t>colorimetry</w:t>
      </w:r>
    </w:p>
    <w:p w:rsidR="00000000" w:rsidRPr="009B534C" w:rsidP="009B534C">
      <w:pPr>
        <w:pStyle w:val="ListBullet2"/>
      </w:pPr>
      <w:r w:rsidRPr="009B534C">
        <w:t xml:space="preserve">spectrophotometry </w:t>
      </w:r>
    </w:p>
    <w:p w:rsidR="00000000" w:rsidRPr="009B534C" w:rsidP="009B534C">
      <w:pPr>
        <w:pStyle w:val="ListBullet2"/>
      </w:pPr>
      <w:r w:rsidRPr="009B534C">
        <w:t>chromotography</w:t>
      </w:r>
    </w:p>
    <w:p w:rsidR="00000000" w:rsidRPr="009B534C" w:rsidP="009B534C">
      <w:pPr>
        <w:pStyle w:val="ListBullet2"/>
      </w:pPr>
      <w:r w:rsidRPr="009B534C">
        <w:t>electrophoresis</w:t>
      </w:r>
    </w:p>
    <w:p w:rsidR="00000000" w:rsidRPr="009B534C" w:rsidP="009B534C">
      <w:pPr>
        <w:pStyle w:val="ListBullet2"/>
      </w:pPr>
      <w:r w:rsidRPr="009B534C">
        <w:t>electrochemistry</w:t>
      </w:r>
    </w:p>
    <w:p w:rsidR="00000000" w:rsidRPr="009B534C" w:rsidP="009B534C">
      <w:pPr>
        <w:pStyle w:val="ListBullet2"/>
      </w:pPr>
      <w:r w:rsidRPr="009B534C">
        <w:t>multistep molecular technique</w:t>
      </w:r>
    </w:p>
    <w:p w:rsidR="00725455" w:rsidP="009B534C">
      <w:pPr>
        <w:pStyle w:val="ListBullet2"/>
      </w:pPr>
      <w:r w:rsidRPr="009B534C">
        <w:t>multistep immunological technique.</w:t>
      </w:r>
    </w:p>
    <w:p w:rsidR="00725455" w:rsidP="009B534C">
      <w:pPr>
        <w:pStyle w:val="ListBullet2"/>
      </w:pPr>
    </w:p>
    <w:p w:rsidR="00000000" w:rsidRPr="009B534C" w:rsidP="009B534C">
      <w:pPr>
        <w:pStyle w:val="Heading1"/>
      </w:pPr>
      <w:bookmarkStart w:id="11" w:name="O_1258324"/>
      <w:bookmarkEnd w:id="11"/>
      <w:r w:rsidRPr="009B534C">
        <w:t>Knowledge Evidence</w:t>
      </w:r>
    </w:p>
    <w:p w:rsidR="00000000" w:rsidRPr="009B534C" w:rsidP="00725455">
      <w:pPr>
        <w:pStyle w:val="BodyText"/>
      </w:pPr>
      <w:r w:rsidRPr="009B534C">
        <w:t>There must be evidence the candidate has knowledge of:</w:t>
      </w:r>
    </w:p>
    <w:p w:rsidR="00000000" w:rsidRPr="009B534C" w:rsidP="009B534C">
      <w:pPr>
        <w:pStyle w:val="ListBullet"/>
      </w:pPr>
      <w:r w:rsidRPr="009B534C">
        <w:t>biological principles and concepts underpinning tests and procedures associated with job role, i</w:t>
      </w:r>
      <w:r w:rsidRPr="009B534C">
        <w:t>ncluding:</w:t>
      </w:r>
    </w:p>
    <w:p w:rsidR="00000000" w:rsidRPr="009B534C" w:rsidP="009B534C">
      <w:pPr>
        <w:pStyle w:val="ListBullet"/>
      </w:pPr>
      <w:r w:rsidRPr="009B534C">
        <w:t xml:space="preserve">basic classification and taxonomy of organisms including prokaryotes and eukaryotes, bacteria, viruses, fungi, plants, animals, parasites and prions </w:t>
      </w:r>
    </w:p>
    <w:p w:rsidR="00000000" w:rsidRPr="009B534C" w:rsidP="009B534C">
      <w:pPr>
        <w:pStyle w:val="ListBullet"/>
      </w:pPr>
      <w:r w:rsidRPr="009B534C">
        <w:t xml:space="preserve">basic structure and function of a plant and/or animal cell and the respective organelles </w:t>
      </w:r>
    </w:p>
    <w:p w:rsidR="00000000" w:rsidRPr="009B534C" w:rsidP="009B534C">
      <w:pPr>
        <w:pStyle w:val="ListBullet"/>
      </w:pPr>
      <w:r w:rsidRPr="009B534C">
        <w:t xml:space="preserve">cell membrane activity, including diffusion (passive, facilitated and active), osmosis, tonicity </w:t>
      </w:r>
    </w:p>
    <w:p w:rsidR="00000000" w:rsidRPr="009B534C" w:rsidP="009B534C">
      <w:pPr>
        <w:pStyle w:val="ListBullet"/>
      </w:pPr>
      <w:r w:rsidRPr="009B534C">
        <w:t>phases of the cell cycle including phases of mitosis</w:t>
      </w:r>
    </w:p>
    <w:p w:rsidR="00000000" w:rsidRPr="009B534C" w:rsidP="009B534C">
      <w:pPr>
        <w:pStyle w:val="ListBullet"/>
      </w:pPr>
      <w:r w:rsidRPr="009B534C">
        <w:t>mendelian genetics including inheritance, meiosis, karyotypes, dominant, recessive, codominant and sex-li</w:t>
      </w:r>
      <w:r w:rsidRPr="009B534C">
        <w:t>nked traits, genotypes, phenotypes</w:t>
      </w:r>
    </w:p>
    <w:p w:rsidR="00000000" w:rsidRPr="009B534C" w:rsidP="009B534C">
      <w:pPr>
        <w:pStyle w:val="ListBullet"/>
      </w:pPr>
      <w:r w:rsidRPr="009B534C">
        <w:t xml:space="preserve">basic structure and function of organic molecules including carbohydrates, lipids, </w:t>
      </w:r>
    </w:p>
    <w:p w:rsidR="00000000" w:rsidRPr="009B534C" w:rsidP="009B534C">
      <w:pPr>
        <w:pStyle w:val="ListBullet"/>
      </w:pPr>
      <w:r w:rsidRPr="009B534C">
        <w:t>basic role of biologically significant ions, including calcium, iron, magnesium, sodium, potassium, chloride and phosphate</w:t>
      </w:r>
    </w:p>
    <w:p w:rsidR="00000000" w:rsidRPr="009B534C" w:rsidP="009B534C">
      <w:pPr>
        <w:pStyle w:val="ListBullet"/>
      </w:pPr>
      <w:r w:rsidRPr="009B534C">
        <w:t>purpose of pro</w:t>
      </w:r>
      <w:r w:rsidRPr="009B534C">
        <w:t>cedures implemented (why they are used and what they demonstrate)</w:t>
      </w:r>
    </w:p>
    <w:p w:rsidR="00000000" w:rsidRPr="009B534C" w:rsidP="009B534C">
      <w:pPr>
        <w:pStyle w:val="ListBullet"/>
      </w:pPr>
      <w:r w:rsidRPr="009B534C">
        <w:t>importance and appropriate use of controls and certified reference materials</w:t>
      </w:r>
    </w:p>
    <w:p w:rsidR="00725455" w:rsidP="009B534C">
      <w:pPr>
        <w:pStyle w:val="ListBullet"/>
      </w:pPr>
      <w:r w:rsidRPr="009B534C">
        <w:t>legal, ethical and work health and safety (WHS) requirements specific to the work task.</w:t>
      </w:r>
    </w:p>
    <w:p w:rsidR="00725455" w:rsidP="009B534C">
      <w:pPr>
        <w:pStyle w:val="ListBullet"/>
      </w:pPr>
    </w:p>
    <w:p w:rsidR="00000000" w:rsidRPr="009B534C" w:rsidP="009B534C">
      <w:pPr>
        <w:pStyle w:val="Heading1"/>
      </w:pPr>
      <w:bookmarkStart w:id="12" w:name="O_1258325"/>
      <w:bookmarkEnd w:id="12"/>
      <w:r w:rsidRPr="009B534C">
        <w:t>Asses</w:t>
      </w:r>
      <w:r w:rsidRPr="009B534C">
        <w:t>sment Conditions</w:t>
      </w:r>
    </w:p>
    <w:p w:rsidR="00000000" w:rsidRPr="009B534C" w:rsidP="00725455">
      <w:pPr>
        <w:pStyle w:val="BodyText"/>
      </w:pPr>
      <w:r w:rsidRPr="009B534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B534C" w:rsidP="009B534C">
      <w:pPr>
        <w:pStyle w:val="ListBullet"/>
      </w:pPr>
      <w:r w:rsidRPr="009B534C">
        <w:t>use of suitable facilities, equipped with appropr</w:t>
      </w:r>
      <w:r w:rsidRPr="009B534C">
        <w:t xml:space="preserve">iate laboratory equipment, safety equipment, reagents, materials and biological samples </w:t>
      </w:r>
    </w:p>
    <w:p w:rsidR="00000000" w:rsidRPr="009B534C" w:rsidP="009B534C">
      <w:pPr>
        <w:pStyle w:val="ListBullet"/>
      </w:pPr>
      <w:r w:rsidRPr="009B534C">
        <w:t xml:space="preserve">workplace procedures. </w:t>
      </w:r>
    </w:p>
    <w:p w:rsidR="00725455" w:rsidP="00725455">
      <w:pPr>
        <w:pStyle w:val="BodyText"/>
      </w:pPr>
      <w:r w:rsidRPr="009B534C">
        <w:t>Assessors must satisfy the NVR/AQTF mandatory competency requirements for assessors.</w:t>
      </w:r>
    </w:p>
    <w:p w:rsidR="00000000" w:rsidRPr="009B534C" w:rsidP="009B534C">
      <w:pPr>
        <w:pStyle w:val="Heading1"/>
      </w:pPr>
      <w:bookmarkStart w:id="13" w:name="O_1258328"/>
      <w:bookmarkEnd w:id="13"/>
      <w:r w:rsidRPr="009B534C">
        <w:t>Links</w:t>
      </w:r>
    </w:p>
    <w:p w:rsidR="00000000" w:rsidRPr="009B534C" w:rsidP="00725455">
      <w:pPr>
        <w:pStyle w:val="BodyText"/>
      </w:pPr>
      <w:r w:rsidRPr="009B534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1145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B534C" w:rsidP="009B534C"/>
    <w:sectPr w:rsidSect="009B53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C" w:rsidRPr="00725455" w:rsidP="00725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55" w:rsidP="009B5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455" w:rsidP="009B5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5455" w:rsidP="009B53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C" w:rsidP="009B5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455">
      <w:t>Approved</w:t>
    </w:r>
    <w:r w:rsidR="007254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4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455">
      <w:rPr>
        <w:noProof/>
      </w:rPr>
      <w:t>4</w:t>
    </w:r>
    <w:r>
      <w:rPr>
        <w:noProof/>
      </w:rPr>
      <w:fldChar w:fldCharType="end"/>
    </w:r>
  </w:p>
  <w:p w:rsidR="009B534C" w:rsidP="009B5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4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455">
      <w:t>Manufacturing Industry Skills Alliance</w:t>
    </w:r>
    <w:r w:rsidR="00725455">
      <w:fldChar w:fldCharType="end"/>
    </w:r>
  </w:p>
  <w:p w:rsidR="009B534C" w:rsidP="009B5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34C" w:rsidRPr="00725455" w:rsidP="00725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55" w:rsidRPr="002D2AF8" w:rsidP="009B5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MSL974034 Perform biological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455" w:rsidP="009B53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C" w:rsidRPr="002D2AF8" w:rsidP="009B5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455">
      <w:t>MSL974034 Perform biological procedures</w:t>
    </w:r>
    <w:r w:rsidR="007254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455">
      <w:rPr>
        <w:noProof/>
      </w:rPr>
      <w:t>2 March 2025</w:t>
    </w:r>
    <w:r>
      <w:fldChar w:fldCharType="end"/>
    </w:r>
  </w:p>
  <w:p w:rsidR="009B534C" w:rsidP="009B5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C8A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8E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6E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34C"/>
  </w:style>
  <w:style w:type="character" w:customStyle="1" w:styleId="Heading1Char">
    <w:name w:val="Heading 1 Char"/>
    <w:basedOn w:val="DefaultParagraphFont"/>
    <w:link w:val="Heading1"/>
    <w:rsid w:val="009B5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3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34C"/>
    <w:rPr>
      <w:b/>
      <w:spacing w:val="0"/>
    </w:rPr>
  </w:style>
  <w:style w:type="paragraph" w:styleId="ListBullet2">
    <w:name w:val="List Bullet 2"/>
    <w:basedOn w:val="List2"/>
    <w:rsid w:val="009B53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53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5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3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34C"/>
    <w:rPr>
      <w:i/>
    </w:rPr>
  </w:style>
  <w:style w:type="paragraph" w:styleId="Caption">
    <w:name w:val="caption"/>
    <w:basedOn w:val="BodyText"/>
    <w:next w:val="Normal"/>
    <w:qFormat/>
    <w:rsid w:val="009B5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34C"/>
  </w:style>
  <w:style w:type="paragraph" w:styleId="TableofFigures">
    <w:name w:val="table of figures"/>
    <w:basedOn w:val="Normal"/>
    <w:next w:val="Normal"/>
    <w:semiHidden/>
    <w:rsid w:val="009B5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3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534C"/>
    <w:rPr>
      <w:rFonts w:ascii="Wingdings" w:hAnsi="Wingdings"/>
    </w:rPr>
  </w:style>
  <w:style w:type="paragraph" w:customStyle="1" w:styleId="TableHeading">
    <w:name w:val="Table Heading"/>
    <w:basedOn w:val="HeadingBase"/>
    <w:rsid w:val="009B5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34C"/>
    <w:rPr>
      <w:color w:val="0033CC"/>
      <w:u w:val="none"/>
    </w:rPr>
  </w:style>
  <w:style w:type="paragraph" w:customStyle="1" w:styleId="BodyTextRight">
    <w:name w:val="Body Text Right"/>
    <w:basedOn w:val="BodyText"/>
    <w:rsid w:val="009B5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3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34C"/>
    <w:rPr>
      <w:sz w:val="32"/>
    </w:rPr>
  </w:style>
  <w:style w:type="paragraph" w:customStyle="1" w:styleId="HeadingProcedure">
    <w:name w:val="Heading Procedure"/>
    <w:basedOn w:val="HeadingBase"/>
    <w:next w:val="Normal"/>
    <w:rsid w:val="009B5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34C"/>
    <w:pPr>
      <w:spacing w:before="60" w:after="60"/>
    </w:pPr>
  </w:style>
  <w:style w:type="paragraph" w:styleId="ListContinue">
    <w:name w:val="List Continue"/>
    <w:basedOn w:val="List"/>
    <w:rsid w:val="009B534C"/>
    <w:pPr>
      <w:ind w:firstLine="0"/>
    </w:pPr>
  </w:style>
  <w:style w:type="paragraph" w:customStyle="1" w:styleId="ListNote">
    <w:name w:val="List Note"/>
    <w:basedOn w:val="List"/>
    <w:rsid w:val="009B5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34C"/>
    <w:rPr>
      <w:rFonts w:ascii="Courier New" w:hAnsi="Courier New"/>
    </w:rPr>
  </w:style>
  <w:style w:type="paragraph" w:customStyle="1" w:styleId="NoteBullet">
    <w:name w:val="Note Bullet"/>
    <w:basedOn w:val="Note"/>
    <w:rsid w:val="009B5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3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5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34C"/>
    <w:rPr>
      <w:b/>
      <w:smallCaps/>
    </w:rPr>
  </w:style>
  <w:style w:type="paragraph" w:customStyle="1" w:styleId="TableListNumber">
    <w:name w:val="Table List Number"/>
    <w:basedOn w:val="ListNumber"/>
    <w:rsid w:val="009B5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34C"/>
    <w:pPr>
      <w:numPr>
        <w:numId w:val="10"/>
      </w:numPr>
    </w:pPr>
  </w:style>
  <w:style w:type="paragraph" w:customStyle="1" w:styleId="ListAlpha2">
    <w:name w:val="List Alpha 2"/>
    <w:basedOn w:val="List2"/>
    <w:rsid w:val="009B534C"/>
    <w:pPr>
      <w:numPr>
        <w:numId w:val="9"/>
      </w:numPr>
    </w:pPr>
  </w:style>
  <w:style w:type="paragraph" w:styleId="List2">
    <w:name w:val="List 2"/>
    <w:basedOn w:val="BodyText"/>
    <w:rsid w:val="009B5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3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53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534C"/>
    <w:pPr>
      <w:numPr>
        <w:numId w:val="5"/>
      </w:numPr>
    </w:pPr>
  </w:style>
  <w:style w:type="paragraph" w:styleId="ListContinue2">
    <w:name w:val="List Continue 2"/>
    <w:basedOn w:val="List2"/>
    <w:rsid w:val="009B534C"/>
    <w:pPr>
      <w:ind w:firstLine="0"/>
    </w:pPr>
  </w:style>
  <w:style w:type="paragraph" w:styleId="ListContinue3">
    <w:name w:val="List Continue 3"/>
    <w:basedOn w:val="List3"/>
    <w:rsid w:val="009B534C"/>
    <w:pPr>
      <w:ind w:left="1021" w:firstLine="0"/>
    </w:pPr>
  </w:style>
  <w:style w:type="paragraph" w:styleId="ListContinue4">
    <w:name w:val="List Continue 4"/>
    <w:basedOn w:val="List4"/>
    <w:rsid w:val="009B534C"/>
    <w:pPr>
      <w:ind w:firstLine="0"/>
    </w:pPr>
  </w:style>
  <w:style w:type="paragraph" w:styleId="ListContinue5">
    <w:name w:val="List Continue 5"/>
    <w:basedOn w:val="List5"/>
    <w:rsid w:val="009B534C"/>
    <w:pPr>
      <w:ind w:firstLine="0"/>
    </w:pPr>
  </w:style>
  <w:style w:type="paragraph" w:styleId="ListNumber3">
    <w:name w:val="List Number 3"/>
    <w:basedOn w:val="List3"/>
    <w:rsid w:val="009B534C"/>
    <w:pPr>
      <w:numPr>
        <w:numId w:val="6"/>
      </w:numPr>
    </w:pPr>
  </w:style>
  <w:style w:type="paragraph" w:styleId="ListNumber4">
    <w:name w:val="List Number 4"/>
    <w:basedOn w:val="List4"/>
    <w:rsid w:val="009B534C"/>
    <w:pPr>
      <w:numPr>
        <w:numId w:val="7"/>
      </w:numPr>
    </w:pPr>
  </w:style>
  <w:style w:type="paragraph" w:styleId="ListNumber5">
    <w:name w:val="List Number 5"/>
    <w:basedOn w:val="List5"/>
    <w:rsid w:val="009B534C"/>
    <w:pPr>
      <w:numPr>
        <w:numId w:val="8"/>
      </w:numPr>
    </w:pPr>
  </w:style>
  <w:style w:type="paragraph" w:styleId="BlockText">
    <w:name w:val="Block Text"/>
    <w:basedOn w:val="Normal"/>
    <w:rsid w:val="009B5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34C"/>
    <w:rPr>
      <w:sz w:val="16"/>
      <w:vertAlign w:val="superscript"/>
    </w:rPr>
  </w:style>
  <w:style w:type="character" w:customStyle="1" w:styleId="Symbols">
    <w:name w:val="Symbols"/>
    <w:basedOn w:val="DefaultParagraphFont"/>
    <w:rsid w:val="009B534C"/>
    <w:rPr>
      <w:rFonts w:ascii="Symbol" w:hAnsi="Symbol"/>
    </w:rPr>
  </w:style>
  <w:style w:type="character" w:customStyle="1" w:styleId="MenuOptions">
    <w:name w:val="Menu Options"/>
    <w:basedOn w:val="DefaultParagraphFont"/>
    <w:rsid w:val="009B5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34C"/>
    <w:rPr>
      <w:b/>
    </w:rPr>
  </w:style>
  <w:style w:type="character" w:customStyle="1" w:styleId="Underlined">
    <w:name w:val="Underlined"/>
    <w:basedOn w:val="DefaultParagraphFont"/>
    <w:rsid w:val="009B534C"/>
    <w:rPr>
      <w:u w:val="single"/>
    </w:rPr>
  </w:style>
  <w:style w:type="paragraph" w:customStyle="1" w:styleId="TableBodyTextRight">
    <w:name w:val="Table Body Text Right"/>
    <w:basedOn w:val="TableBodyText"/>
    <w:rsid w:val="009B5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34C"/>
    <w:rPr>
      <w:sz w:val="18"/>
    </w:rPr>
  </w:style>
  <w:style w:type="paragraph" w:customStyle="1" w:styleId="BodySmallRight">
    <w:name w:val="Body Small Right"/>
    <w:basedOn w:val="BodyTextRight"/>
    <w:rsid w:val="009B534C"/>
    <w:rPr>
      <w:sz w:val="18"/>
      <w:szCs w:val="18"/>
    </w:rPr>
  </w:style>
  <w:style w:type="paragraph" w:customStyle="1" w:styleId="MarginEdition">
    <w:name w:val="Margin Edition"/>
    <w:basedOn w:val="MarginNote"/>
    <w:rsid w:val="009B5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34C"/>
    <w:rPr>
      <w:sz w:val="2"/>
      <w:szCs w:val="2"/>
    </w:rPr>
  </w:style>
  <w:style w:type="character" w:customStyle="1" w:styleId="Small">
    <w:name w:val="Small"/>
    <w:basedOn w:val="DefaultParagraphFont"/>
    <w:rsid w:val="009B534C"/>
    <w:rPr>
      <w:sz w:val="16"/>
    </w:rPr>
  </w:style>
  <w:style w:type="paragraph" w:customStyle="1" w:styleId="WideTable">
    <w:name w:val="Wide Table"/>
    <w:basedOn w:val="Normal"/>
    <w:rsid w:val="009B5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34C"/>
  </w:style>
  <w:style w:type="paragraph" w:styleId="Quote">
    <w:name w:val="Quote"/>
    <w:basedOn w:val="Heading1"/>
    <w:link w:val="QuoteChar"/>
    <w:qFormat/>
    <w:rsid w:val="009B5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34C"/>
    <w:pPr>
      <w:pageBreakBefore/>
    </w:pPr>
  </w:style>
  <w:style w:type="paragraph" w:customStyle="1" w:styleId="Border">
    <w:name w:val="Border"/>
    <w:basedOn w:val="Normal"/>
    <w:qFormat/>
    <w:rsid w:val="009B5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34C"/>
    <w:rPr>
      <w:u w:val="single"/>
    </w:rPr>
  </w:style>
  <w:style w:type="character" w:customStyle="1" w:styleId="BoldandItalics">
    <w:name w:val="Bold and Italics"/>
    <w:qFormat/>
    <w:rsid w:val="009B534C"/>
    <w:rPr>
      <w:b/>
      <w:i/>
      <w:u w:val="none"/>
    </w:rPr>
  </w:style>
  <w:style w:type="paragraph" w:styleId="BalloonText">
    <w:name w:val="Balloon Text"/>
    <w:basedOn w:val="Normal"/>
    <w:link w:val="BalloonTextChar"/>
    <w:rsid w:val="009B5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34C"/>
    <w:pPr>
      <w:spacing w:before="0" w:after="0"/>
    </w:pPr>
  </w:style>
  <w:style w:type="paragraph" w:customStyle="1" w:styleId="BodyTextBold">
    <w:name w:val="Body Text Bold"/>
    <w:basedOn w:val="BodyText"/>
    <w:qFormat/>
    <w:rsid w:val="009B534C"/>
    <w:rPr>
      <w:b/>
    </w:rPr>
  </w:style>
  <w:style w:type="character" w:styleId="Hyperlink">
    <w:name w:val="Hyperlink"/>
    <w:basedOn w:val="DefaultParagraphFont"/>
    <w:uiPriority w:val="99"/>
    <w:unhideWhenUsed/>
    <w:rsid w:val="00725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5866</Characters>
  <Application>Microsoft Office Word</Application>
  <DocSecurity>0</DocSecurity>
  <Lines>154</Lines>
  <Paragraphs>97</Paragraphs>
  <ScaleCrop>false</ScaleCrop>
  <Company>Author-it Software Corporation Ltd.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MSL974034 Perform biological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