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665" w:rsidP="00CA2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MSL974032 Perform chemical tests and procedures</w:t>
      </w:r>
      <w:r>
        <w:fldChar w:fldCharType="end"/>
      </w:r>
    </w:p>
    <w:p w:rsidR="00CA2665" w:rsidP="00CA2665">
      <w:pPr>
        <w:pStyle w:val="Version"/>
        <w:sectPr w:rsidSect="00DB32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21A" w:rsidP="00DB321A">
      <w:pPr>
        <w:pStyle w:val="SuperHeading"/>
      </w:pPr>
      <w:r w:rsidRPr="00DB321A">
        <w:t>MSL974032 Perform chemical tests and procedures</w:t>
      </w:r>
    </w:p>
    <w:p w:rsidR="00000000" w:rsidRPr="00DB321A" w:rsidP="00DB321A">
      <w:pPr>
        <w:pStyle w:val="Heading1"/>
      </w:pPr>
      <w:bookmarkStart w:id="1" w:name="O_1258274"/>
      <w:bookmarkEnd w:id="1"/>
      <w:r w:rsidRPr="00DB321A">
        <w:t>Modification History</w:t>
      </w:r>
    </w:p>
    <w:p w:rsidR="00CA2665" w:rsidP="00CA2665">
      <w:pPr>
        <w:pStyle w:val="BodyText"/>
      </w:pPr>
      <w:r w:rsidRPr="00DB321A">
        <w:t>Release 1. Supersedes and equivalent to MSL974019 Perform chemical tests and procedures. Element 7 integrated into Element 5. Minor changes to Performance Criteria. Minor refinements in Knowledge Evidence to provide guidance a</w:t>
      </w:r>
      <w:r w:rsidRPr="00DB321A">
        <w:t>bout scope and depth of knowledge required.</w:t>
      </w:r>
    </w:p>
    <w:p w:rsidR="00000000" w:rsidRPr="00DB321A" w:rsidP="00DB321A">
      <w:pPr>
        <w:pStyle w:val="Heading1"/>
      </w:pPr>
      <w:bookmarkStart w:id="2" w:name="O_1258275"/>
      <w:bookmarkEnd w:id="2"/>
      <w:r w:rsidRPr="00DB321A">
        <w:t>Application</w:t>
      </w:r>
    </w:p>
    <w:p w:rsidR="00000000" w:rsidRPr="00DB321A" w:rsidP="00CA2665">
      <w:pPr>
        <w:pStyle w:val="BodyText"/>
      </w:pPr>
      <w:r w:rsidRPr="00DB321A">
        <w:t>This unit of competency describes the skills and knowledge to interpret chemical test requirements, prepare samples, conduct pre-use and calibration checks on equipment and perform</w:t>
      </w:r>
      <w:r w:rsidRPr="00DB321A">
        <w:t xml:space="preserve"> routine chemical tests. These tests will involve several measurement steps. The unit includes basic data processing and interpretation of results.</w:t>
      </w:r>
    </w:p>
    <w:p w:rsidR="00000000" w:rsidRPr="00DB321A" w:rsidP="00CA2665">
      <w:pPr>
        <w:pStyle w:val="BodyText"/>
      </w:pPr>
      <w:r w:rsidRPr="00DB321A">
        <w:t>This unit applies to laboratory or technical assistants and instrument operators in all industry sectors.</w:t>
      </w:r>
    </w:p>
    <w:p w:rsidR="00CA2665" w:rsidP="00CA2665">
      <w:pPr>
        <w:pStyle w:val="BodyText"/>
      </w:pPr>
      <w:r w:rsidRPr="00DB321A">
        <w:t>No</w:t>
      </w:r>
      <w:r w:rsidRPr="00DB321A">
        <w:t xml:space="preserve"> licensing or certification requirements exist at the time of publication. However, regulations and/or external accreditation requirements for laboratory operations exist, so local requirements should be checked. Relevant legislation, industry standards an</w:t>
      </w:r>
      <w:r w:rsidRPr="00DB321A">
        <w:t>d codes of practice within Australia must also be applied.</w:t>
      </w:r>
    </w:p>
    <w:p w:rsidR="00000000" w:rsidRPr="00DB321A" w:rsidP="00DB321A">
      <w:pPr>
        <w:pStyle w:val="Heading1"/>
      </w:pPr>
      <w:bookmarkStart w:id="3" w:name="O_1258276"/>
      <w:bookmarkEnd w:id="3"/>
      <w:r w:rsidRPr="00DB321A">
        <w:t>Pre-requisite Unit</w:t>
      </w:r>
    </w:p>
    <w:p w:rsidR="00000000" w:rsidRPr="00DB321A" w:rsidP="00CA2665">
      <w:pPr>
        <w:pStyle w:val="BodyText"/>
      </w:pPr>
      <w:r w:rsidRPr="00DB321A">
        <w:t>Nil.</w:t>
      </w:r>
    </w:p>
    <w:p w:rsidR="00000000" w:rsidRPr="00DB321A" w:rsidP="00DB321A">
      <w:pPr>
        <w:pStyle w:val="Heading1"/>
      </w:pPr>
      <w:bookmarkStart w:id="4" w:name="O_1258277"/>
      <w:bookmarkEnd w:id="4"/>
      <w:r w:rsidRPr="00DB321A">
        <w:t>Competency Field</w:t>
      </w:r>
    </w:p>
    <w:p w:rsidR="00CA2665" w:rsidP="00CA2665">
      <w:pPr>
        <w:pStyle w:val="BodyText"/>
      </w:pPr>
      <w:r w:rsidRPr="00DB321A">
        <w:t>Testing</w:t>
      </w:r>
    </w:p>
    <w:p w:rsidR="00000000" w:rsidRPr="00DB321A" w:rsidP="00DB321A">
      <w:pPr>
        <w:pStyle w:val="Heading1"/>
      </w:pPr>
      <w:bookmarkStart w:id="5" w:name="O_1258279"/>
      <w:bookmarkEnd w:id="5"/>
      <w:r w:rsidRPr="00DB321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A2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1A" w:rsidP="00DB321A">
            <w:pPr>
              <w:pStyle w:val="BodyText"/>
            </w:pPr>
            <w:r w:rsidRPr="00DB321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rPr>
                <w:rStyle w:val="SpecialBold"/>
              </w:rPr>
              <w:t>Performance Criteria</w:t>
            </w:r>
          </w:p>
        </w:tc>
      </w:tr>
      <w:tr w:rsidTr="00CA2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Performance criteria describe the performance needed to demonstrate achievement of the element.</w:t>
            </w:r>
          </w:p>
        </w:tc>
      </w:tr>
      <w:tr w:rsidTr="00CA2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1. Interpret and schedule test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1A" w:rsidP="00DB321A">
            <w:pPr>
              <w:pStyle w:val="BodyText"/>
            </w:pPr>
            <w:r w:rsidRPr="00DB321A">
              <w:t>1.1 Review test request to identify samples to be tested, test method and</w:t>
            </w:r>
            <w:r w:rsidRPr="00DB321A">
              <w:t xml:space="preserve"> equipment involved</w:t>
            </w:r>
          </w:p>
          <w:p w:rsidR="00000000" w:rsidRPr="00DB321A" w:rsidP="00DB321A">
            <w:pPr>
              <w:pStyle w:val="BodyText"/>
            </w:pPr>
            <w:r w:rsidRPr="00DB321A">
              <w:t xml:space="preserve">1.2 Identify hazards and workplace control measures associated with the </w:t>
            </w:r>
            <w:r w:rsidRPr="00DB321A">
              <w:t>sample, preparation and test methods, reagents and/or equipment</w:t>
            </w:r>
          </w:p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1.3 Plan work sequences to optimise throughput of multiple samples</w:t>
            </w:r>
          </w:p>
        </w:tc>
      </w:tr>
      <w:tr w:rsidTr="00CA2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2. Receive and prepare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1A" w:rsidP="00DB321A">
            <w:pPr>
              <w:pStyle w:val="BodyText"/>
            </w:pPr>
            <w:r w:rsidRPr="00DB321A">
              <w:t>2</w:t>
            </w:r>
            <w:r w:rsidRPr="00DB321A">
              <w:t>.1 Register samples in accordance with workplace procedures, recording details that allow accurate tracking and chain of custody traceable to employee</w:t>
            </w:r>
          </w:p>
          <w:p w:rsidR="00000000" w:rsidRPr="00DB321A" w:rsidP="00DB321A">
            <w:pPr>
              <w:pStyle w:val="BodyText"/>
            </w:pPr>
            <w:r w:rsidRPr="00DB321A">
              <w:t>2.2 Match sample provided to accompanying documentation and report any discrepancies in accordance with workplace procedures</w:t>
            </w:r>
          </w:p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2.3 Prepare samples and standards in accordance with chemical testing requirements</w:t>
            </w:r>
          </w:p>
        </w:tc>
      </w:tr>
      <w:tr w:rsidTr="00CA2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3. Check equipment before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1A" w:rsidP="00DB321A">
            <w:pPr>
              <w:pStyle w:val="BodyText"/>
            </w:pPr>
            <w:r w:rsidRPr="00DB321A">
              <w:t>3.1 Set up equipm</w:t>
            </w:r>
            <w:r w:rsidRPr="00DB321A">
              <w:t>ent and instruments in accordance with test method requirements</w:t>
            </w:r>
          </w:p>
          <w:p w:rsidR="00000000" w:rsidRPr="00DB321A" w:rsidP="00DB321A">
            <w:pPr>
              <w:pStyle w:val="BodyText"/>
            </w:pPr>
            <w:r w:rsidRPr="00DB321A">
              <w:t>3.2 Perform pre-use and safety checks in accordance with workplace procedures</w:t>
            </w:r>
          </w:p>
          <w:p w:rsidR="00000000" w:rsidRPr="00DB321A" w:rsidP="00DB321A">
            <w:pPr>
              <w:pStyle w:val="BodyText"/>
            </w:pPr>
            <w:r w:rsidRPr="00DB321A">
              <w:t xml:space="preserve">3.3 Check equipment calibration using specified standards and procedures </w:t>
            </w:r>
          </w:p>
          <w:p w:rsidR="00000000" w:rsidRPr="00DB321A" w:rsidP="00DB321A">
            <w:pPr>
              <w:pStyle w:val="BodyText"/>
            </w:pPr>
            <w:r w:rsidRPr="00DB321A">
              <w:t>3.4 Inspect reagents required for qualit</w:t>
            </w:r>
            <w:r w:rsidRPr="00DB321A">
              <w:t>y issues including visual checks and expiry</w:t>
            </w:r>
          </w:p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3.5 Maintain equipment log in accordance with workplace procedures</w:t>
            </w:r>
          </w:p>
        </w:tc>
      </w:tr>
      <w:tr w:rsidTr="00CA2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4. Test samples to determine chemical species or properties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1A" w:rsidP="00DB321A">
            <w:pPr>
              <w:pStyle w:val="BodyText"/>
            </w:pPr>
            <w:r w:rsidRPr="00DB321A">
              <w:t>4.1 Operate equipment and instruments in accordance with test method requirements</w:t>
            </w:r>
          </w:p>
          <w:p w:rsidR="00000000" w:rsidRPr="00DB321A" w:rsidP="00DB321A">
            <w:pPr>
              <w:pStyle w:val="BodyText"/>
            </w:pPr>
            <w:r w:rsidRPr="00DB321A">
              <w:t>4.</w:t>
            </w:r>
            <w:r w:rsidRPr="00DB321A">
              <w:t>2 Perform tests or procedures on all samples and standards in accordance with specified methods</w:t>
            </w:r>
          </w:p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4.3 Shut down equipment and instruments in accordance with operating procedures</w:t>
            </w:r>
          </w:p>
        </w:tc>
      </w:tr>
      <w:tr w:rsidTr="00CA2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5. Process, interpret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1A" w:rsidP="00DB321A">
            <w:pPr>
              <w:pStyle w:val="BodyText"/>
            </w:pPr>
            <w:r w:rsidRPr="00DB321A">
              <w:t>5.1 Record test data noting atypical obse</w:t>
            </w:r>
            <w:r w:rsidRPr="00DB321A">
              <w:t>rvations and anomalies</w:t>
            </w:r>
          </w:p>
          <w:p w:rsidR="00000000" w:rsidRPr="00DB321A" w:rsidP="00DB321A">
            <w:pPr>
              <w:pStyle w:val="BodyText"/>
            </w:pPr>
            <w:r w:rsidRPr="00DB321A">
              <w:t>5.2 Interpret calibration graphs and compute results for all samples from these graphs</w:t>
            </w:r>
          </w:p>
          <w:p w:rsidR="00000000" w:rsidRPr="00DB321A" w:rsidP="00DB321A">
            <w:pPr>
              <w:pStyle w:val="BodyText"/>
            </w:pPr>
            <w:r w:rsidRPr="00DB321A">
              <w:t>5.3 Check calculated values for consistency with expectations</w:t>
            </w:r>
          </w:p>
          <w:p w:rsidR="00000000" w:rsidRPr="00DB321A" w:rsidP="00DB321A">
            <w:pPr>
              <w:pStyle w:val="BodyText"/>
            </w:pPr>
            <w:r w:rsidRPr="00DB321A">
              <w:t>5.4 Record data and results in accordance with workplace procedures</w:t>
            </w:r>
          </w:p>
          <w:p w:rsidR="00000000" w:rsidRPr="00DB321A" w:rsidP="00DB321A">
            <w:pPr>
              <w:pStyle w:val="BodyText"/>
            </w:pPr>
            <w:r w:rsidRPr="00DB321A">
              <w:t>5.5 Determine if</w:t>
            </w:r>
            <w:r w:rsidRPr="00DB321A">
              <w:t xml:space="preserve"> obvious procedure or equipment problems have led to atypical data or results</w:t>
            </w:r>
          </w:p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5.6 Follow procedures to ensure traceability of sample from receipt to reporting of results</w:t>
            </w:r>
          </w:p>
        </w:tc>
      </w:tr>
      <w:tr w:rsidTr="00CA26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1A">
            <w:pPr>
              <w:pStyle w:val="BodyText"/>
              <w:rPr>
                <w:lang w:val="en-NZ"/>
              </w:rPr>
            </w:pPr>
            <w:r w:rsidRPr="00DB321A">
              <w:t>6.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1A" w:rsidP="00DB321A">
            <w:pPr>
              <w:pStyle w:val="BodyText"/>
            </w:pPr>
            <w:r w:rsidRPr="00DB321A">
              <w:t>6.1 Use established safe work practices and personal protective equipment (PPE) to ensure personal safety and that of other laboratory personnel</w:t>
            </w:r>
          </w:p>
          <w:p w:rsidR="00000000" w:rsidRPr="00DB321A" w:rsidP="00DB321A">
            <w:pPr>
              <w:pStyle w:val="BodyText"/>
            </w:pPr>
            <w:r w:rsidRPr="00DB321A">
              <w:t>6.2 Minimise the generation of wastes and environmental impacts</w:t>
            </w:r>
          </w:p>
          <w:p w:rsidR="00000000" w:rsidRPr="00DB321A" w:rsidP="00DB321A">
            <w:pPr>
              <w:pStyle w:val="BodyText"/>
            </w:pPr>
            <w:r w:rsidRPr="00DB321A">
              <w:t>6.3 Safely collect and dispose of laboratory an</w:t>
            </w:r>
            <w:r w:rsidRPr="00DB321A">
              <w:t>d hazardous waste</w:t>
            </w:r>
          </w:p>
          <w:p w:rsidR="00000000" w:rsidRPr="00DB321A" w:rsidP="00DB321A">
            <w:pPr>
              <w:pStyle w:val="BodyText"/>
            </w:pPr>
            <w:r w:rsidRPr="00DB321A">
              <w:t>6.4 Care for and store equipment and reagents in accordance with workplace procedures</w:t>
            </w:r>
          </w:p>
        </w:tc>
      </w:tr>
    </w:tbl>
    <w:p w:rsidR="00CA2665" w:rsidP="00DB321A">
      <w:pPr>
        <w:pStyle w:val="BodyText"/>
      </w:pPr>
    </w:p>
    <w:p w:rsidR="00CA2665" w:rsidP="00DB321A">
      <w:pPr>
        <w:pStyle w:val="BodyText"/>
      </w:pPr>
    </w:p>
    <w:p w:rsidR="00000000" w:rsidRPr="00DB321A" w:rsidP="00DB321A">
      <w:pPr>
        <w:pStyle w:val="Heading1"/>
      </w:pPr>
      <w:bookmarkStart w:id="6" w:name="O_1258280"/>
      <w:bookmarkEnd w:id="6"/>
      <w:r w:rsidRPr="00DB321A">
        <w:t>Foundation Skills</w:t>
      </w:r>
    </w:p>
    <w:p w:rsidR="00000000" w:rsidRPr="00DB321A" w:rsidP="00CA2665">
      <w:pPr>
        <w:pStyle w:val="BodyText"/>
      </w:pPr>
      <w:r w:rsidRPr="00DB321A">
        <w:t>This section describes those language, literacy, numeracy and employment skills that are essential to performanc</w:t>
      </w:r>
      <w:r w:rsidRPr="00DB321A">
        <w:t>e:</w:t>
      </w:r>
    </w:p>
    <w:p w:rsidR="00000000" w:rsidRPr="00DB321A" w:rsidP="00DB321A">
      <w:pPr>
        <w:pStyle w:val="ListBullet"/>
      </w:pPr>
      <w:r w:rsidRPr="00DB321A">
        <w:t>Problem-solving skills to trace and source obvious causes of artefacts, track obvious test malfunctions for standardised procedures, and troubleshoot basic equipment and methods.</w:t>
      </w:r>
    </w:p>
    <w:p w:rsidR="00CA2665" w:rsidP="00CA2665">
      <w:pPr>
        <w:pStyle w:val="BodyText"/>
      </w:pPr>
      <w:r w:rsidRPr="00DB321A">
        <w:t>Other foundation skills essential to performance are explicit in the perf</w:t>
      </w:r>
      <w:r w:rsidRPr="00DB321A">
        <w:t>ormance criteria of this unit.</w:t>
      </w:r>
    </w:p>
    <w:p w:rsidR="00000000" w:rsidRPr="00DB321A" w:rsidP="00DB321A">
      <w:pPr>
        <w:pStyle w:val="Heading1"/>
      </w:pPr>
      <w:bookmarkStart w:id="7" w:name="O_1258282"/>
      <w:bookmarkEnd w:id="7"/>
      <w:r w:rsidRPr="00DB321A">
        <w:t>Unit Mapping Information</w:t>
      </w:r>
    </w:p>
    <w:p w:rsidR="00CA2665" w:rsidP="00CA2665">
      <w:pPr>
        <w:pStyle w:val="BodyText"/>
      </w:pPr>
      <w:r w:rsidRPr="00DB321A">
        <w:t>Supersedes and is equivalent to MSL974019 Perform chemical tests and procedures.</w:t>
      </w:r>
    </w:p>
    <w:p w:rsidR="00000000" w:rsidRPr="00DB321A" w:rsidP="00DB321A">
      <w:pPr>
        <w:pStyle w:val="Heading1"/>
      </w:pPr>
      <w:bookmarkStart w:id="8" w:name="O_1258289"/>
      <w:bookmarkEnd w:id="8"/>
      <w:r w:rsidRPr="00DB321A">
        <w:t>Links</w:t>
      </w:r>
    </w:p>
    <w:p w:rsidR="00000000" w:rsidRPr="00DB321A" w:rsidP="00CA2665">
      <w:pPr>
        <w:pStyle w:val="BodyText"/>
      </w:pPr>
      <w:r w:rsidRPr="00DB321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E21D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B321A" w:rsidP="00DB321A"/>
    <w:sectPr w:rsidSect="00DB32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1A" w:rsidRPr="00CA2665" w:rsidP="00CA2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65" w:rsidP="00DB32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665" w:rsidP="00DB32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2665" w:rsidP="00DB32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21A" w:rsidRPr="00CA2665" w:rsidP="00CA2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65" w:rsidRPr="002D2AF8" w:rsidP="00DB32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MSL974032 Perform chemical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A2665" w:rsidP="00DB32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E4D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D8B6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2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2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2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2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2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2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2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2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2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2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2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21A"/>
  </w:style>
  <w:style w:type="character" w:customStyle="1" w:styleId="Heading1Char">
    <w:name w:val="Heading 1 Char"/>
    <w:basedOn w:val="DefaultParagraphFont"/>
    <w:link w:val="Heading1"/>
    <w:rsid w:val="00DB32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2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2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2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21A"/>
    <w:rPr>
      <w:b/>
      <w:spacing w:val="0"/>
    </w:rPr>
  </w:style>
  <w:style w:type="paragraph" w:customStyle="1" w:styleId="SuperHeading">
    <w:name w:val="SuperHeading"/>
    <w:basedOn w:val="Normal"/>
    <w:rsid w:val="00DB32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2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2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2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2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2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2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2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2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2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2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2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2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2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2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2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2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2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2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2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2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2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2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2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2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2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2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2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2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2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2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21A"/>
    <w:rPr>
      <w:i/>
    </w:rPr>
  </w:style>
  <w:style w:type="paragraph" w:styleId="Caption">
    <w:name w:val="caption"/>
    <w:basedOn w:val="BodyText"/>
    <w:next w:val="Normal"/>
    <w:qFormat/>
    <w:rsid w:val="00DB32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2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2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21A"/>
  </w:style>
  <w:style w:type="paragraph" w:styleId="TableofFigures">
    <w:name w:val="table of figures"/>
    <w:basedOn w:val="Normal"/>
    <w:next w:val="Normal"/>
    <w:semiHidden/>
    <w:rsid w:val="00DB32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2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321A"/>
    <w:rPr>
      <w:rFonts w:ascii="Wingdings" w:hAnsi="Wingdings"/>
    </w:rPr>
  </w:style>
  <w:style w:type="paragraph" w:customStyle="1" w:styleId="TableHeading">
    <w:name w:val="Table Heading"/>
    <w:basedOn w:val="HeadingBase"/>
    <w:rsid w:val="00DB32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21A"/>
    <w:rPr>
      <w:color w:val="0033CC"/>
      <w:u w:val="none"/>
    </w:rPr>
  </w:style>
  <w:style w:type="paragraph" w:customStyle="1" w:styleId="BodyTextRight">
    <w:name w:val="Body Text Right"/>
    <w:basedOn w:val="BodyText"/>
    <w:rsid w:val="00DB32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2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2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2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2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2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21A"/>
    <w:rPr>
      <w:sz w:val="32"/>
    </w:rPr>
  </w:style>
  <w:style w:type="paragraph" w:customStyle="1" w:styleId="HeadingProcedure">
    <w:name w:val="Heading Procedure"/>
    <w:basedOn w:val="HeadingBase"/>
    <w:next w:val="Normal"/>
    <w:rsid w:val="00DB32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21A"/>
    <w:pPr>
      <w:spacing w:before="60" w:after="60"/>
    </w:pPr>
  </w:style>
  <w:style w:type="paragraph" w:styleId="ListContinue">
    <w:name w:val="List Continue"/>
    <w:basedOn w:val="List"/>
    <w:rsid w:val="00DB321A"/>
    <w:pPr>
      <w:ind w:firstLine="0"/>
    </w:pPr>
  </w:style>
  <w:style w:type="paragraph" w:customStyle="1" w:styleId="ListNote">
    <w:name w:val="List Note"/>
    <w:basedOn w:val="List"/>
    <w:rsid w:val="00DB32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2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2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21A"/>
    <w:rPr>
      <w:rFonts w:ascii="Courier New" w:hAnsi="Courier New"/>
    </w:rPr>
  </w:style>
  <w:style w:type="paragraph" w:customStyle="1" w:styleId="NoteBullet">
    <w:name w:val="Note Bullet"/>
    <w:basedOn w:val="Note"/>
    <w:rsid w:val="00DB32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2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2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2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2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2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2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21A"/>
    <w:rPr>
      <w:b/>
      <w:smallCaps/>
    </w:rPr>
  </w:style>
  <w:style w:type="paragraph" w:customStyle="1" w:styleId="TableListNumber">
    <w:name w:val="Table List Number"/>
    <w:basedOn w:val="ListNumber"/>
    <w:rsid w:val="00DB32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2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21A"/>
    <w:pPr>
      <w:numPr>
        <w:numId w:val="8"/>
      </w:numPr>
    </w:pPr>
  </w:style>
  <w:style w:type="paragraph" w:customStyle="1" w:styleId="ListAlpha2">
    <w:name w:val="List Alpha 2"/>
    <w:basedOn w:val="List2"/>
    <w:rsid w:val="00DB321A"/>
    <w:pPr>
      <w:numPr>
        <w:numId w:val="7"/>
      </w:numPr>
    </w:pPr>
  </w:style>
  <w:style w:type="paragraph" w:styleId="List2">
    <w:name w:val="List 2"/>
    <w:basedOn w:val="BodyText"/>
    <w:rsid w:val="00DB32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2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2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2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2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2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321A"/>
    <w:pPr>
      <w:numPr>
        <w:numId w:val="3"/>
      </w:numPr>
    </w:pPr>
  </w:style>
  <w:style w:type="paragraph" w:styleId="ListContinue2">
    <w:name w:val="List Continue 2"/>
    <w:basedOn w:val="List2"/>
    <w:rsid w:val="00DB321A"/>
    <w:pPr>
      <w:ind w:firstLine="0"/>
    </w:pPr>
  </w:style>
  <w:style w:type="paragraph" w:styleId="ListContinue3">
    <w:name w:val="List Continue 3"/>
    <w:basedOn w:val="List3"/>
    <w:rsid w:val="00DB321A"/>
    <w:pPr>
      <w:ind w:left="1021" w:firstLine="0"/>
    </w:pPr>
  </w:style>
  <w:style w:type="paragraph" w:styleId="ListContinue4">
    <w:name w:val="List Continue 4"/>
    <w:basedOn w:val="List4"/>
    <w:rsid w:val="00DB321A"/>
    <w:pPr>
      <w:ind w:firstLine="0"/>
    </w:pPr>
  </w:style>
  <w:style w:type="paragraph" w:styleId="ListContinue5">
    <w:name w:val="List Continue 5"/>
    <w:basedOn w:val="List5"/>
    <w:rsid w:val="00DB321A"/>
    <w:pPr>
      <w:ind w:firstLine="0"/>
    </w:pPr>
  </w:style>
  <w:style w:type="paragraph" w:styleId="ListNumber3">
    <w:name w:val="List Number 3"/>
    <w:basedOn w:val="List3"/>
    <w:rsid w:val="00DB321A"/>
    <w:pPr>
      <w:numPr>
        <w:numId w:val="4"/>
      </w:numPr>
    </w:pPr>
  </w:style>
  <w:style w:type="paragraph" w:styleId="ListNumber4">
    <w:name w:val="List Number 4"/>
    <w:basedOn w:val="List4"/>
    <w:rsid w:val="00DB321A"/>
    <w:pPr>
      <w:numPr>
        <w:numId w:val="5"/>
      </w:numPr>
    </w:pPr>
  </w:style>
  <w:style w:type="paragraph" w:styleId="ListNumber5">
    <w:name w:val="List Number 5"/>
    <w:basedOn w:val="List5"/>
    <w:rsid w:val="00DB321A"/>
    <w:pPr>
      <w:numPr>
        <w:numId w:val="6"/>
      </w:numPr>
    </w:pPr>
  </w:style>
  <w:style w:type="paragraph" w:styleId="BlockText">
    <w:name w:val="Block Text"/>
    <w:basedOn w:val="Normal"/>
    <w:rsid w:val="00DB32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2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21A"/>
    <w:rPr>
      <w:sz w:val="16"/>
      <w:vertAlign w:val="superscript"/>
    </w:rPr>
  </w:style>
  <w:style w:type="character" w:customStyle="1" w:styleId="Symbols">
    <w:name w:val="Symbols"/>
    <w:basedOn w:val="DefaultParagraphFont"/>
    <w:rsid w:val="00DB321A"/>
    <w:rPr>
      <w:rFonts w:ascii="Symbol" w:hAnsi="Symbol"/>
    </w:rPr>
  </w:style>
  <w:style w:type="character" w:customStyle="1" w:styleId="MenuOptions">
    <w:name w:val="Menu Options"/>
    <w:basedOn w:val="DefaultParagraphFont"/>
    <w:rsid w:val="00DB32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21A"/>
    <w:rPr>
      <w:b/>
    </w:rPr>
  </w:style>
  <w:style w:type="character" w:customStyle="1" w:styleId="Underlined">
    <w:name w:val="Underlined"/>
    <w:basedOn w:val="DefaultParagraphFont"/>
    <w:rsid w:val="00DB321A"/>
    <w:rPr>
      <w:u w:val="single"/>
    </w:rPr>
  </w:style>
  <w:style w:type="paragraph" w:customStyle="1" w:styleId="TableBodyTextRight">
    <w:name w:val="Table Body Text Right"/>
    <w:basedOn w:val="TableBodyText"/>
    <w:rsid w:val="00DB32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21A"/>
    <w:rPr>
      <w:sz w:val="18"/>
    </w:rPr>
  </w:style>
  <w:style w:type="paragraph" w:customStyle="1" w:styleId="BodySmallRight">
    <w:name w:val="Body Small Right"/>
    <w:basedOn w:val="BodyTextRight"/>
    <w:rsid w:val="00DB321A"/>
    <w:rPr>
      <w:sz w:val="18"/>
      <w:szCs w:val="18"/>
    </w:rPr>
  </w:style>
  <w:style w:type="paragraph" w:customStyle="1" w:styleId="MarginEdition">
    <w:name w:val="Margin Edition"/>
    <w:basedOn w:val="MarginNote"/>
    <w:rsid w:val="00DB32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21A"/>
    <w:rPr>
      <w:sz w:val="2"/>
      <w:szCs w:val="2"/>
    </w:rPr>
  </w:style>
  <w:style w:type="character" w:customStyle="1" w:styleId="Small">
    <w:name w:val="Small"/>
    <w:basedOn w:val="DefaultParagraphFont"/>
    <w:rsid w:val="00DB321A"/>
    <w:rPr>
      <w:sz w:val="16"/>
    </w:rPr>
  </w:style>
  <w:style w:type="paragraph" w:customStyle="1" w:styleId="WideTable">
    <w:name w:val="Wide Table"/>
    <w:basedOn w:val="Normal"/>
    <w:rsid w:val="00DB32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21A"/>
  </w:style>
  <w:style w:type="paragraph" w:styleId="Quote">
    <w:name w:val="Quote"/>
    <w:basedOn w:val="Heading1"/>
    <w:link w:val="QuoteChar"/>
    <w:qFormat/>
    <w:rsid w:val="00DB32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2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21A"/>
    <w:pPr>
      <w:pageBreakBefore/>
    </w:pPr>
  </w:style>
  <w:style w:type="paragraph" w:customStyle="1" w:styleId="Border">
    <w:name w:val="Border"/>
    <w:basedOn w:val="Normal"/>
    <w:qFormat/>
    <w:rsid w:val="00DB32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2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2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2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2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2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2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2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2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21A"/>
    <w:rPr>
      <w:u w:val="single"/>
    </w:rPr>
  </w:style>
  <w:style w:type="character" w:customStyle="1" w:styleId="BoldandItalics">
    <w:name w:val="Bold and Italics"/>
    <w:qFormat/>
    <w:rsid w:val="00DB321A"/>
    <w:rPr>
      <w:b/>
      <w:i/>
      <w:u w:val="none"/>
    </w:rPr>
  </w:style>
  <w:style w:type="paragraph" w:styleId="BalloonText">
    <w:name w:val="Balloon Text"/>
    <w:basedOn w:val="Normal"/>
    <w:link w:val="BalloonTextChar"/>
    <w:rsid w:val="00DB32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2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2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2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2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2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21A"/>
    <w:pPr>
      <w:spacing w:before="0" w:after="0"/>
    </w:pPr>
  </w:style>
  <w:style w:type="paragraph" w:customStyle="1" w:styleId="BodyTextBold">
    <w:name w:val="Body Text Bold"/>
    <w:basedOn w:val="BodyText"/>
    <w:qFormat/>
    <w:rsid w:val="00DB321A"/>
    <w:rPr>
      <w:b/>
    </w:rPr>
  </w:style>
  <w:style w:type="character" w:styleId="Hyperlink">
    <w:name w:val="Hyperlink"/>
    <w:basedOn w:val="DefaultParagraphFont"/>
    <w:uiPriority w:val="99"/>
    <w:unhideWhenUsed/>
    <w:rsid w:val="00CA2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4029</Characters>
  <Application>Microsoft Office Word</Application>
  <DocSecurity>0</DocSecurity>
  <Lines>115</Lines>
  <Paragraphs>66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MSL974032 Perform chemical tests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